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  <w:bookmarkStart w:id="0" w:name="_Toc23198"/>
      <w:r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  <w:t>指南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：金属精密成型模具材料开发与应用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</w:pPr>
      <w:r>
        <w:rPr>
          <w:rFonts w:hint="eastAsia"/>
        </w:rPr>
        <w:t>研究内容：</w:t>
      </w:r>
    </w:p>
    <w:bookmarkEnd w:id="0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针对高端模具钢国产材料在纯净度、横向冲击韧性及各项冲击韧性等向性、组织、硬度均匀性、共晶碳化物不均度等问题，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开展高纯净钢冶炼技术研究，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采用渣系设计、电渣重熔工艺优化、微量残余元素及气体含量控制等工艺控制方法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解决国产模具钢大尺寸夹杂物超标、带状偏析等关键技术问题；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压铸模具钢锻造及热处理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研究，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采用高温扩散、大锻比及多向锻造、锻后组织超细化处理等工艺措施提高球化组织质量、横向冲击韧性及各方向冲击等向性；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塑胶模具钢锻造及热处理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研究，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采用高温扩散、预硬化水空交替控时淬火冷却技术及阶梯式回火工艺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提升钢材整体硬度均匀性；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开展冲压模具钢锻造技术研究，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通过成分优化、镦拔工艺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提升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及大锻比锻造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稳定产品的热处理硬度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提升共晶碳化物不均匀度质量。通过各个冶金工序的工艺攻关及质量提升，形成成套的技术方案和工艺路线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</w:pPr>
      <w:r>
        <w:rPr>
          <w:rFonts w:hint="eastAsia"/>
        </w:rPr>
        <w:t>考核指标：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（一）验收考核指标：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压铸模具钢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成品模块厚度≥400mm，宽度≥1000mm，室温横向冲击韧性≥15J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塑胶模具钢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非金属夹杂物按标准GB/T10561-2005评级，D类细系≤1.0，D类粗系≤0.5，Ds类≤0.5；厚度≥600mm的预硬化塑料模具钢整体硬度偏差≤4HRC；冲压模具钢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热处理硬度≥58HRC，共晶碳化物不均匀度≤5级。申请专利2项。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（二）绩效评价指标：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年产高端模具钢1万吨；项目实施周期内累计实现销售收入不低于6000万元，上缴税金200万元。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b w:val="0"/>
          <w:bCs w:val="0"/>
        </w:rPr>
      </w:pPr>
      <w:r>
        <w:rPr>
          <w:rFonts w:hint="eastAsia"/>
        </w:rPr>
        <w:t>申报条件：</w:t>
      </w:r>
      <w:r>
        <w:rPr>
          <w:rFonts w:hint="eastAsia"/>
          <w:b w:val="0"/>
          <w:bCs w:val="0"/>
        </w:rPr>
        <w:t>市内独立法人企业牵头</w:t>
      </w:r>
      <w:r>
        <w:rPr>
          <w:rFonts w:hint="eastAsia"/>
          <w:b w:val="0"/>
          <w:bCs w:val="0"/>
          <w:lang w:eastAsia="zh-CN"/>
        </w:rPr>
        <w:t>联合市内外优势科研力量</w:t>
      </w:r>
      <w:r>
        <w:rPr>
          <w:rFonts w:hint="eastAsia"/>
          <w:b w:val="0"/>
          <w:bCs w:val="0"/>
        </w:rPr>
        <w:t>组建创新联合体申报</w:t>
      </w:r>
      <w:r>
        <w:rPr>
          <w:rFonts w:hint="eastAsia"/>
          <w:b w:val="0"/>
          <w:bCs w:val="0"/>
          <w:lang w:eastAsia="zh-CN"/>
        </w:rPr>
        <w:t>。</w:t>
      </w:r>
      <w:r>
        <w:rPr>
          <w:rFonts w:hint="eastAsia"/>
          <w:b w:val="0"/>
          <w:bCs w:val="0"/>
        </w:rPr>
        <w:t>项目新增投资不低于</w:t>
      </w:r>
      <w:r>
        <w:rPr>
          <w:rFonts w:hint="eastAsia"/>
          <w:b w:val="0"/>
          <w:bCs w:val="0"/>
          <w:lang w:val="en-US" w:eastAsia="zh-CN"/>
        </w:rPr>
        <w:t>600</w:t>
      </w:r>
      <w:r>
        <w:rPr>
          <w:rFonts w:hint="eastAsia"/>
          <w:b w:val="0"/>
          <w:bCs w:val="0"/>
        </w:rPr>
        <w:t>万元。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/>
          <w:b w:val="0"/>
          <w:lang w:eastAsia="zh-CN"/>
        </w:rPr>
      </w:pPr>
      <w:r>
        <w:rPr>
          <w:rFonts w:hint="eastAsia"/>
        </w:rPr>
        <w:t>技术成熟度：</w:t>
      </w:r>
      <w:r>
        <w:rPr>
          <w:rFonts w:hint="eastAsia"/>
          <w:b w:val="0"/>
          <w:bCs w:val="0"/>
        </w:rPr>
        <w:t>当前等</w:t>
      </w:r>
      <w:r>
        <w:rPr>
          <w:rFonts w:hint="eastAsia"/>
          <w:b w:val="0"/>
        </w:rPr>
        <w:t>级2级，完成后不低于10级</w:t>
      </w:r>
      <w:r>
        <w:rPr>
          <w:rFonts w:hint="eastAsia"/>
          <w:b w:val="0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cs="仿宋_GB2312"/>
          <w:b w:val="0"/>
          <w:bCs w:val="0"/>
        </w:rPr>
      </w:pPr>
      <w:r>
        <w:rPr>
          <w:rFonts w:hint="eastAsia"/>
        </w:rPr>
        <w:t>项目交示件：</w:t>
      </w:r>
      <w:r>
        <w:rPr>
          <w:rFonts w:hint="eastAsia" w:ascii="仿宋_GB2312" w:hAnsi="仿宋_GB2312" w:cs="仿宋_GB2312"/>
          <w:b w:val="0"/>
          <w:bCs w:val="0"/>
        </w:rPr>
        <w:t>金属精密成型模具钢材料的第三方测试报告，高端模具钢的用户应用证明、销售合同等证明材料，产业化生产须落地滨州市</w:t>
      </w:r>
      <w:r>
        <w:rPr>
          <w:rFonts w:hint="eastAsia" w:ascii="仿宋_GB2312" w:hAnsi="仿宋_GB2312" w:cs="仿宋_GB2312"/>
          <w:b w:val="0"/>
          <w:bCs w:val="0"/>
          <w:lang w:eastAsia="zh-CN"/>
        </w:rPr>
        <w:t>企业</w:t>
      </w:r>
      <w:r>
        <w:rPr>
          <w:rFonts w:hint="eastAsia" w:ascii="仿宋_GB2312" w:hAnsi="仿宋_GB2312" w:cs="仿宋_GB2312"/>
          <w:b w:val="0"/>
          <w:bCs w:val="0"/>
        </w:rPr>
        <w:t>。</w:t>
      </w:r>
      <w:bookmarkStart w:id="1" w:name="_GoBack"/>
      <w:bookmarkEnd w:id="1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黑体" w:hAnsi="黑体" w:eastAsia="黑体" w:cs="黑体"/>
          <w:sz w:val="32"/>
          <w:szCs w:val="40"/>
        </w:rPr>
      </w:pPr>
      <w:r>
        <w:rPr>
          <w:rFonts w:hint="eastAsia" w:ascii="Times New Roman" w:hAnsi="Times New Roman" w:eastAsia="仿宋_GB2312" w:cs="宋体"/>
          <w:b/>
          <w:bCs/>
          <w:sz w:val="32"/>
          <w:szCs w:val="32"/>
        </w:rPr>
        <w:t>张榜范围：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面向市内公开张榜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footerReference r:id="rId3" w:type="default"/>
      <w:pgSz w:w="11906" w:h="16838"/>
      <w:pgMar w:top="2098" w:right="1474" w:bottom="147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xi Sans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DOqXm5zwAAAAUBAAAP&#10;AAAAAAAAAAEAIAAAADgAAABkcnMvZG93bnJldi54bWxQSwECFAAUAAAACACHTuJA9vPBLtIBAACE&#10;AwAADgAAAAAAAAABACAAAAA0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true"/>
  <w:bordersDoNotSurroundFooter w:val="true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mMDAzZjZkZGIwYTgwODU5NGU1MWVlYWFiYTdiMWIifQ=="/>
  </w:docVars>
  <w:rsids>
    <w:rsidRoot w:val="00800922"/>
    <w:rsid w:val="00250513"/>
    <w:rsid w:val="002B0E14"/>
    <w:rsid w:val="00365A92"/>
    <w:rsid w:val="00367746"/>
    <w:rsid w:val="003E162A"/>
    <w:rsid w:val="00457525"/>
    <w:rsid w:val="0049792B"/>
    <w:rsid w:val="005D365C"/>
    <w:rsid w:val="00716A83"/>
    <w:rsid w:val="007D4494"/>
    <w:rsid w:val="00800922"/>
    <w:rsid w:val="009822B7"/>
    <w:rsid w:val="009C4DBB"/>
    <w:rsid w:val="00A57A7D"/>
    <w:rsid w:val="00B97293"/>
    <w:rsid w:val="00C36F89"/>
    <w:rsid w:val="00C87191"/>
    <w:rsid w:val="00F919C6"/>
    <w:rsid w:val="02AE1145"/>
    <w:rsid w:val="04A722F0"/>
    <w:rsid w:val="055B791C"/>
    <w:rsid w:val="0AF23B2F"/>
    <w:rsid w:val="10800F0D"/>
    <w:rsid w:val="22A8230E"/>
    <w:rsid w:val="2EA50B7D"/>
    <w:rsid w:val="32586854"/>
    <w:rsid w:val="32C959A4"/>
    <w:rsid w:val="38365684"/>
    <w:rsid w:val="3FF2A204"/>
    <w:rsid w:val="4D484A99"/>
    <w:rsid w:val="5BC57D16"/>
    <w:rsid w:val="5EB84C3C"/>
    <w:rsid w:val="67D822C5"/>
    <w:rsid w:val="69927C43"/>
    <w:rsid w:val="707C533A"/>
    <w:rsid w:val="72AF14FA"/>
    <w:rsid w:val="73F910B0"/>
    <w:rsid w:val="76004612"/>
    <w:rsid w:val="79BA36D4"/>
    <w:rsid w:val="7A2D1198"/>
    <w:rsid w:val="7CC36400"/>
    <w:rsid w:val="B9E995D9"/>
    <w:rsid w:val="BD5B4212"/>
    <w:rsid w:val="DFFFCF36"/>
    <w:rsid w:val="EEBFA78F"/>
    <w:rsid w:val="F5744751"/>
    <w:rsid w:val="FF479B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80" w:lineRule="exact"/>
      <w:ind w:firstLine="200" w:firstLineChars="200"/>
      <w:outlineLvl w:val="0"/>
    </w:pPr>
    <w:rPr>
      <w:rFonts w:eastAsia="仿宋_GB2312"/>
      <w:b/>
      <w:kern w:val="44"/>
      <w:sz w:val="32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2">
    <w:name w:val="heading 3"/>
    <w:basedOn w:val="1"/>
    <w:next w:val="1"/>
    <w:qFormat/>
    <w:uiPriority w:val="0"/>
    <w:pPr>
      <w:keepNext/>
      <w:keepLines/>
      <w:outlineLvl w:val="2"/>
    </w:pPr>
    <w:rPr>
      <w:rFonts w:ascii="Times New Roman" w:hAnsi="Times New Roman" w:eastAsia="仿宋_GB2312" w:cs="宋体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4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List Paragraph"/>
    <w:basedOn w:val="1"/>
    <w:qFormat/>
    <w:uiPriority w:val="0"/>
    <w:pPr>
      <w:ind w:firstLine="200" w:firstLineChars="200"/>
    </w:pPr>
  </w:style>
  <w:style w:type="table" w:customStyle="1" w:styleId="12">
    <w:name w:val="网格型1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Revision"/>
    <w:hidden/>
    <w:unhideWhenUsed/>
    <w:qFormat/>
    <w:uiPriority w:val="99"/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customStyle="1" w:styleId="14">
    <w:name w:val="批注框文本 Char"/>
    <w:basedOn w:val="10"/>
    <w:link w:val="6"/>
    <w:qFormat/>
    <w:uiPriority w:val="0"/>
    <w:rPr>
      <w:rFonts w:ascii="Calibri" w:hAnsi="Calibri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722</Words>
  <Characters>772</Characters>
  <Lines>10</Lines>
  <Paragraphs>3</Paragraphs>
  <TotalTime>37</TotalTime>
  <ScaleCrop>false</ScaleCrop>
  <LinksUpToDate>false</LinksUpToDate>
  <CharactersWithSpaces>772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2025-10-14T01:03:00Z</dcterms:created>
  <dc:creator>孤狼</dc:creator>
  <cp:lastModifiedBy>kylin</cp:lastModifiedBy>
  <dcterms:modified xsi:type="dcterms:W3CDTF">2025-10-27T14:28:41Z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AB90E71CC83C4DB0B83D49380608B52D_13</vt:lpwstr>
  </property>
  <property fmtid="{D5CDD505-2E9C-101B-9397-08002B2CF9AE}" pid="4" name="KSOTemplateDocerSaveRecord">
    <vt:lpwstr>eyJoZGlkIjoiNjRmMzNjMzYwMTBlYjU3MTViYmIzNjEzYWQyMDYxYzEiLCJ1c2VySWQiOiI0MjYxNTkwMzAifQ==</vt:lpwstr>
  </property>
</Properties>
</file>