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firstLine="643"/>
        <w:rPr>
          <w:rFonts w:ascii="Times New Roman" w:hAnsi="Times New Roman" w:cs="Times New Roman"/>
          <w:color w:val="000000"/>
          <w:sz w:val="36"/>
          <w:szCs w:val="36"/>
        </w:rPr>
      </w:pPr>
      <w:bookmarkStart w:id="0" w:name="_Toc23198"/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eastAsia="zh-CN"/>
        </w:rPr>
        <w:t>指南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：</w:t>
      </w:r>
      <w:bookmarkEnd w:id="0"/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高品质再生铝高精度分选提纯关键技术</w:t>
      </w:r>
    </w:p>
    <w:p>
      <w:pPr>
        <w:spacing w:line="560" w:lineRule="exact"/>
        <w:ind w:firstLine="642" w:firstLineChars="200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560" w:lineRule="exact"/>
        <w:ind w:firstLine="642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研究内容：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针对我国再生铝产业面临的预处理分选精度低、提纯效率差、净化污染重等瓶颈问题，研究高品质再生铝分选提纯过程的关键技术。研究多模态智能分选技术，建立高精度废铝分选技术体系，实现不同种类废铝的精准分离，提高预处理产线的分选能力；研究基于热力学的绿色净化技术，突破碱金属杂质深度去除瓶颈；研究元素交换动力学与偏析行为调控机制，建立铝熔体多元素固液界面偏析行为理论体系，形成偏析提纯工艺参数优化方法，提升铝提纯的效率；构建全过程数字孪生系统，形成全生产流程的可视化监测。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考核指标：</w:t>
      </w: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（一）项目验收指标：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废铝预处理，一级废铝中铝含量≥99%，金属杂质≤0.2%；二级废铝中铝含量≥95%，金属杂质≤1.0%。再生铝熔体，铝损率≤2%，铝液氢含量≤0.12ml/100g；金属去杂后，铁含量≤0.2%，硅含量≤0.5%。偏析提纯技术，吨能耗＜3500 kWh，提纯效率＞75%，控温精度±4 ℃。铸锭低倍组织中无羽毛晶、裂纹等缺陷，高倍组织无过烧、晶粒度一级、疏松一级；再生铝开发的 7XXX 系 3C 级铸铝，平均晶粒≤140μm、最大晶粒≤453μm；夹杂物尺寸≤25μm。</w:t>
      </w:r>
      <w:bookmarkStart w:id="1" w:name="_Hlk211275023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数字孪生系统具备产线异常预警能力，采集数据准确率≥98%，关键工艺环节模型拟合度≥90%。再生铝合金高效高精度化预处理能力不低于6万吨/年；高品质再生铝产能不低于10万吨/年。</w:t>
      </w:r>
      <w:bookmarkEnd w:id="1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申请专利不少于6项，论文不少于4篇。</w:t>
      </w: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 xml:space="preserve">（二）绩效评价指标：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构建高效、经济、绿色的再生铝制造体系，实现吨铝综合能耗显著下降，吨铝CO₂排放≤1.0吨；实施期内新增产值不低于10亿元。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申报条件：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由市内独立法人企业牵头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联合市内外优势科研力量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组建创新联合体申报，牵头企业研发占比不低于3%，项目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新增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投资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不低于500万元。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技术成熟度：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当前等级不低于5级（初样级），完成后不低于10级（销售级）。</w:t>
      </w:r>
      <w:bookmarkStart w:id="2" w:name="_GoBack"/>
      <w:bookmarkEnd w:id="2"/>
    </w:p>
    <w:p>
      <w:pPr>
        <w:spacing w:line="540" w:lineRule="exact"/>
        <w:ind w:firstLine="641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项目交示件：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完成时项目承担单位须提供再生铝锭成分、偏析提纯能耗效率等满足考核指标的第三方认证报告；废铝预处理、熔炼净化、偏析提纯等全流程的工艺规范文件；再生铝合金高效高精度化预处理生产线和回收铝-预处理-再生铝-再合金化-全新铝合金产品一体化产线产能检测报告，并提供量产后连续三批次产品一致性报告；产品销售合同等证明材料；产业化生产须落地在滨州市内企业。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张榜范围：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面向市内外公开张榜</w:t>
      </w:r>
    </w:p>
    <w:p>
      <w:pPr>
        <w:rPr>
          <w:rFonts w:hint="eastAsia" w:ascii="仿宋_GB2312" w:hAnsi="仿宋_GB2312" w:eastAsia="仿宋_GB2312" w:cs="仿宋_GB2312"/>
          <w:color w:val="000000"/>
        </w:rPr>
      </w:pPr>
    </w:p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NotDisplayPageBoundaries w:val="true"/>
  <w:bordersDoNotSurroundHeader w:val="true"/>
  <w:bordersDoNotSurroundFooter w:val="true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BC"/>
    <w:rsid w:val="000125BC"/>
    <w:rsid w:val="000359C7"/>
    <w:rsid w:val="000440D1"/>
    <w:rsid w:val="000933EE"/>
    <w:rsid w:val="000A368C"/>
    <w:rsid w:val="000E761F"/>
    <w:rsid w:val="00106C8C"/>
    <w:rsid w:val="00152699"/>
    <w:rsid w:val="00160058"/>
    <w:rsid w:val="00192FB4"/>
    <w:rsid w:val="00195873"/>
    <w:rsid w:val="001C1E5C"/>
    <w:rsid w:val="001C606D"/>
    <w:rsid w:val="00223A4D"/>
    <w:rsid w:val="00226C89"/>
    <w:rsid w:val="002675E6"/>
    <w:rsid w:val="002D34FA"/>
    <w:rsid w:val="002D5065"/>
    <w:rsid w:val="003933EC"/>
    <w:rsid w:val="00412B97"/>
    <w:rsid w:val="00541C85"/>
    <w:rsid w:val="00596AF6"/>
    <w:rsid w:val="00621E0B"/>
    <w:rsid w:val="0062585D"/>
    <w:rsid w:val="00691112"/>
    <w:rsid w:val="007230CD"/>
    <w:rsid w:val="00783C48"/>
    <w:rsid w:val="007B4949"/>
    <w:rsid w:val="007B7DAF"/>
    <w:rsid w:val="00816122"/>
    <w:rsid w:val="00831FA5"/>
    <w:rsid w:val="00862D95"/>
    <w:rsid w:val="008973D7"/>
    <w:rsid w:val="008C7EFD"/>
    <w:rsid w:val="008E0472"/>
    <w:rsid w:val="0090159B"/>
    <w:rsid w:val="0092502A"/>
    <w:rsid w:val="0097164D"/>
    <w:rsid w:val="009E6C72"/>
    <w:rsid w:val="00B04A9A"/>
    <w:rsid w:val="00B2229C"/>
    <w:rsid w:val="00C01EED"/>
    <w:rsid w:val="00CD2032"/>
    <w:rsid w:val="00CD2BE9"/>
    <w:rsid w:val="00CD4C8A"/>
    <w:rsid w:val="00CF6AB0"/>
    <w:rsid w:val="00D05901"/>
    <w:rsid w:val="00D22EE1"/>
    <w:rsid w:val="00D24E8B"/>
    <w:rsid w:val="00D34298"/>
    <w:rsid w:val="00E845BC"/>
    <w:rsid w:val="00EC37CD"/>
    <w:rsid w:val="00F328DF"/>
    <w:rsid w:val="00F9602F"/>
    <w:rsid w:val="00FD3EA1"/>
    <w:rsid w:val="00FE5AD0"/>
    <w:rsid w:val="3F4F59F2"/>
    <w:rsid w:val="FFD7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80" w:lineRule="exact"/>
      <w:ind w:firstLine="200" w:firstLineChars="200"/>
      <w:outlineLvl w:val="0"/>
    </w:pPr>
    <w:rPr>
      <w:rFonts w:eastAsia="仿宋_GB2312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outlineLvl w:val="2"/>
    </w:pPr>
    <w:rPr>
      <w:rFonts w:ascii="Times New Roman" w:hAnsi="Times New Roman" w:eastAsia="仿宋_GB2312" w:cs="宋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5"/>
    <w:qFormat/>
    <w:uiPriority w:val="99"/>
    <w:pPr>
      <w:jc w:val="left"/>
    </w:p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5"/>
    <w:next w:val="5"/>
    <w:link w:val="16"/>
    <w:qFormat/>
    <w:uiPriority w:val="99"/>
    <w:rPr>
      <w:b/>
      <w:bCs/>
    </w:rPr>
  </w:style>
  <w:style w:type="character" w:styleId="11">
    <w:name w:val="annotation reference"/>
    <w:basedOn w:val="10"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0"/>
    <w:pPr>
      <w:ind w:firstLine="200" w:firstLineChars="200"/>
    </w:pPr>
  </w:style>
  <w:style w:type="character" w:customStyle="1" w:styleId="13">
    <w:name w:val="页眉 字符"/>
    <w:basedOn w:val="10"/>
    <w:link w:val="7"/>
    <w:qFormat/>
    <w:uiPriority w:val="99"/>
    <w:rPr>
      <w:rFonts w:ascii="Calibri" w:hAnsi="Calibri" w:cs="Arial"/>
      <w:kern w:val="2"/>
      <w:sz w:val="18"/>
      <w:szCs w:val="18"/>
    </w:rPr>
  </w:style>
  <w:style w:type="character" w:customStyle="1" w:styleId="14">
    <w:name w:val="页脚 字符"/>
    <w:basedOn w:val="10"/>
    <w:link w:val="6"/>
    <w:qFormat/>
    <w:uiPriority w:val="99"/>
    <w:rPr>
      <w:rFonts w:ascii="Calibri" w:hAnsi="Calibri" w:cs="Arial"/>
      <w:kern w:val="2"/>
      <w:sz w:val="18"/>
      <w:szCs w:val="18"/>
    </w:rPr>
  </w:style>
  <w:style w:type="character" w:customStyle="1" w:styleId="15">
    <w:name w:val="批注文字 字符"/>
    <w:basedOn w:val="10"/>
    <w:link w:val="5"/>
    <w:qFormat/>
    <w:uiPriority w:val="99"/>
    <w:rPr>
      <w:rFonts w:ascii="Calibri" w:hAnsi="Calibri" w:cs="Arial"/>
      <w:kern w:val="2"/>
      <w:sz w:val="21"/>
      <w:szCs w:val="24"/>
    </w:rPr>
  </w:style>
  <w:style w:type="character" w:customStyle="1" w:styleId="16">
    <w:name w:val="批注主题 字符"/>
    <w:basedOn w:val="15"/>
    <w:link w:val="8"/>
    <w:qFormat/>
    <w:uiPriority w:val="99"/>
    <w:rPr>
      <w:rFonts w:ascii="Calibri" w:hAnsi="Calibri" w:cs="Arial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797</Words>
  <Characters>829</Characters>
  <Lines>36</Lines>
  <Paragraphs>10</Paragraphs>
  <TotalTime>1</TotalTime>
  <ScaleCrop>false</ScaleCrop>
  <LinksUpToDate>false</LinksUpToDate>
  <CharactersWithSpaces>1616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2025-10-11T00:41:00Z</dcterms:created>
  <dc:creator>孤狼</dc:creator>
  <cp:lastModifiedBy>kylin</cp:lastModifiedBy>
  <cp:lastPrinted>2025-10-09T21:05:00Z</cp:lastPrinted>
  <dcterms:modified xsi:type="dcterms:W3CDTF">2025-10-27T14:19:06Z</dcterms:modified>
  <cp:revision>139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AB0721971E2E474196A2306711937C27_13</vt:lpwstr>
  </property>
</Properties>
</file>