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jc w:val="center"/>
        <w:textAlignment w:val="auto"/>
        <w:rPr>
          <w:rFonts w:ascii="Times New Roman" w:hAnsi="Times New Roman" w:eastAsia="黑体" w:cs="Times New Roman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44"/>
          <w:sz w:val="36"/>
          <w:szCs w:val="36"/>
          <w:highlight w:val="none"/>
          <w:lang w:eastAsia="zh-CN"/>
        </w:rPr>
        <w:t>指南</w:t>
      </w:r>
      <w:r>
        <w:rPr>
          <w:rFonts w:hint="eastAsia" w:ascii="黑体" w:hAnsi="黑体" w:eastAsia="黑体" w:cs="黑体"/>
          <w:b w:val="0"/>
          <w:bCs/>
          <w:kern w:val="44"/>
          <w:sz w:val="36"/>
          <w:szCs w:val="36"/>
          <w:highlight w:val="none"/>
          <w:lang w:val="en-US" w:eastAsia="zh-CN"/>
        </w:rPr>
        <w:t>12</w:t>
      </w:r>
      <w:r>
        <w:rPr>
          <w:rFonts w:hint="eastAsia" w:ascii="黑体" w:hAnsi="黑体" w:eastAsia="黑体" w:cs="黑体"/>
          <w:b w:val="0"/>
          <w:bCs/>
          <w:kern w:val="44"/>
          <w:sz w:val="36"/>
          <w:szCs w:val="36"/>
          <w:highlight w:val="none"/>
        </w:rPr>
        <w:t>：</w:t>
      </w:r>
      <w:r>
        <w:rPr>
          <w:rFonts w:hint="eastAsia" w:ascii="黑体" w:hAnsi="黑体" w:eastAsia="黑体" w:cs="黑体"/>
          <w:b w:val="0"/>
          <w:bCs/>
          <w:sz w:val="36"/>
          <w:szCs w:val="36"/>
          <w:highlight w:val="none"/>
        </w:rPr>
        <w:t>功能性大豆蛋白开发创制与精准功效评价研究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481" w:firstLineChars="150"/>
        <w:textAlignment w:val="auto"/>
        <w:rPr>
          <w:rFonts w:hint="eastAsia" w:ascii="仿宋_GB2312" w:eastAsia="仿宋_GB2312" w:cs="仿宋_GB2312"/>
          <w:b/>
          <w:bCs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2" w:firstLineChars="200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  <w:highlight w:val="none"/>
        </w:rPr>
        <w:t>研究内容：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针对大豆蛋白产业长期存在的技术垄断、分离效率低、活性易丧失、能效评价不明确等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卡脖子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问题，研究大豆蛋白高效分离制备与功能评价-精准营养食品配方开发。研究生物酶解-逆流萃取-低温活性保持复合技术，开发新型分离工艺包，建立二价离子调控模型与热敏性成分梯度保护体系，研制连续化分离装备，突破7S/11S蛋白高效分离纯化及活性保持技术，彻底打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国外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公司技术封锁；研究冷冻电镜与多维度组学联用技术，突破7S/11S蛋白三级结构与功能效价的构效关系，开展动物实验验证蛋白组分的实际功效，建立肿瘤干预、代谢调控等动物模型，验证组分特异性功能，为精准营养食品开发提供理论支撑；针对肿瘤病人、体重管理人群等特殊人群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开展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产品应用配方开发，形成精准化应用配方食品。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2" w:firstLineChars="200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  <w:highlight w:val="none"/>
        </w:rPr>
        <w:t>考核指标：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2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项目验收指标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开发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7S/11S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大豆蛋白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高效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分离技术，实现7S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/11S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蛋白的高效分离富集；7S蛋白产品：7S含量达到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60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%，分散速度小于15s，菌落总数小于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9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00cfu；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推动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7S蛋白产品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在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特殊医学用途食品、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功能性食品等的应用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，针对肿瘤、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肥胖、代谢异常等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特殊人群，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开发功能性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食品1-2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种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；改造生产线1条，实现连续稳定化运行，实现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功能性食品用大豆蛋白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100吨/年的产能。申请发明专利1-2项，发表高水平研究性论文1-2篇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（SCI/EI 收录）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cs="Times New Roman"/>
          <w:highlight w:val="none"/>
          <w:lang w:eastAsia="zh-CN"/>
        </w:rPr>
        <w:t>（二）</w:t>
      </w:r>
      <w:r>
        <w:rPr>
          <w:rFonts w:cs="Times New Roman"/>
          <w:highlight w:val="none"/>
        </w:rPr>
        <w:t>绩效评价指标：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改造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建立全国首条年产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00吨功能性食品用大豆蛋白的连续化、智能化示范生产线，新增营收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600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万元；针对肿瘤病人、体重管理人群等特殊人群，开发形成精准化的应用食品配方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2个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实现至少1家客户合作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申报条件：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市内独立法人企业牵头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联合市内外优势科研力量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组建创新联合体申报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牵头企业研发占比不低于3%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新增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投资不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低于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1000万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技术成熟度：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当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前等级不低于4级，完成后不低于10级。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bookmarkStart w:id="0" w:name="_Hlk211190909"/>
      <w:r>
        <w:rPr>
          <w:rFonts w:hint="eastAsia" w:ascii="仿宋_GB2312" w:hAnsi="仿宋_GB2312" w:eastAsia="仿宋_GB2312" w:cs="仿宋_GB2312"/>
          <w:highlight w:val="none"/>
        </w:rPr>
        <w:t>项目交示件</w:t>
      </w:r>
      <w:bookmarkEnd w:id="0"/>
      <w:r>
        <w:rPr>
          <w:rFonts w:hint="eastAsia" w:ascii="仿宋_GB2312" w:hAnsi="仿宋_GB2312" w:eastAsia="仿宋_GB2312" w:cs="仿宋_GB2312"/>
          <w:highlight w:val="none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第三方鉴定的大豆7S/11S蛋白高效分离纯化技术评价报告1份；7S产品及检测报告；发明专利受理通知书1-2件；发表大豆7S/11S蛋白生物活性评价高水平研究型论文1-2篇（见刊）；改造生产线1条实现产业化示范，达到100吨/年的产能。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highlight w:val="none"/>
          <w:lang w:eastAsia="zh-CN"/>
        </w:rPr>
        <w:t>产业化落地须在滨州市企业。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张榜范围：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面向市内外公开张榜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420" w:firstLineChars="200"/>
        <w:textAlignment w:val="auto"/>
        <w:rPr>
          <w:highlight w:val="none"/>
        </w:rPr>
      </w:pPr>
    </w:p>
    <w:sectPr>
      <w:footerReference r:id="rId5" w:type="default"/>
      <w:pgSz w:w="11906" w:h="16838"/>
      <w:pgMar w:top="2098" w:right="1474" w:bottom="1474" w:left="1587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true"/>
  <w:bordersDoNotSurroundFooter w:val="true"/>
  <w:documentProtection w:edit="readOnly" w:enforcement="0"/>
  <w:defaultTabStop w:val="420"/>
  <w:drawingGridHorizontalSpacing w:val="105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NWE4MWNlMDAwODMxNTg1NmZkMWE0NmFlMTdjZGYxOTYifQ=="/>
  </w:docVars>
  <w:rsids>
    <w:rsidRoot w:val="00117906"/>
    <w:rsid w:val="00117906"/>
    <w:rsid w:val="001D4D87"/>
    <w:rsid w:val="003C1A61"/>
    <w:rsid w:val="00605BC1"/>
    <w:rsid w:val="006442E4"/>
    <w:rsid w:val="008A1C3F"/>
    <w:rsid w:val="008F1D23"/>
    <w:rsid w:val="00C56473"/>
    <w:rsid w:val="00CD6A73"/>
    <w:rsid w:val="062736E9"/>
    <w:rsid w:val="1568787A"/>
    <w:rsid w:val="1BA13662"/>
    <w:rsid w:val="1C6E5335"/>
    <w:rsid w:val="1E6E2B57"/>
    <w:rsid w:val="1F1D3483"/>
    <w:rsid w:val="1FE521F3"/>
    <w:rsid w:val="2EB33224"/>
    <w:rsid w:val="31C37EBA"/>
    <w:rsid w:val="35E77D36"/>
    <w:rsid w:val="39CF71A1"/>
    <w:rsid w:val="3DF9A23B"/>
    <w:rsid w:val="3E8D5AD7"/>
    <w:rsid w:val="421B77A3"/>
    <w:rsid w:val="42366486"/>
    <w:rsid w:val="44DF4BB3"/>
    <w:rsid w:val="49215CFA"/>
    <w:rsid w:val="4B475260"/>
    <w:rsid w:val="50365B27"/>
    <w:rsid w:val="57875362"/>
    <w:rsid w:val="5CC91F79"/>
    <w:rsid w:val="5FA3D3E4"/>
    <w:rsid w:val="61AD3C17"/>
    <w:rsid w:val="64B66520"/>
    <w:rsid w:val="6DA2372D"/>
    <w:rsid w:val="6F377216"/>
    <w:rsid w:val="7571258C"/>
    <w:rsid w:val="77364257"/>
    <w:rsid w:val="7C865339"/>
    <w:rsid w:val="7E423B65"/>
    <w:rsid w:val="7E7F669A"/>
    <w:rsid w:val="7EDF2A18"/>
    <w:rsid w:val="7F791185"/>
    <w:rsid w:val="BF3D5DDD"/>
    <w:rsid w:val="D7BB7263"/>
    <w:rsid w:val="E7674707"/>
    <w:rsid w:val="EA7F0684"/>
    <w:rsid w:val="F7D690B8"/>
    <w:rsid w:val="FF654856"/>
    <w:rsid w:val="FFAF4D8D"/>
    <w:rsid w:val="FFD98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80" w:lineRule="exact"/>
      <w:ind w:firstLine="200" w:firstLineChars="200"/>
      <w:outlineLvl w:val="0"/>
    </w:pPr>
    <w:rPr>
      <w:rFonts w:eastAsia="仿宋_GB2312"/>
      <w:b/>
      <w:kern w:val="44"/>
      <w:sz w:val="32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2">
    <w:name w:val="heading 3"/>
    <w:basedOn w:val="1"/>
    <w:next w:val="1"/>
    <w:qFormat/>
    <w:uiPriority w:val="0"/>
    <w:pPr>
      <w:keepNext/>
      <w:keepLines/>
      <w:outlineLvl w:val="2"/>
    </w:pPr>
    <w:rPr>
      <w:rFonts w:ascii="Times New Roman" w:hAnsi="Times New Roman" w:eastAsia="仿宋_GB2312" w:cs="宋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3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annotation subject"/>
    <w:basedOn w:val="5"/>
    <w:next w:val="5"/>
    <w:link w:val="14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0"/>
    <w:pPr>
      <w:ind w:firstLine="200" w:firstLineChars="200"/>
    </w:pPr>
  </w:style>
  <w:style w:type="character" w:customStyle="1" w:styleId="13">
    <w:name w:val="批注文字 字符"/>
    <w:basedOn w:val="10"/>
    <w:link w:val="5"/>
    <w:qFormat/>
    <w:uiPriority w:val="0"/>
    <w:rPr>
      <w:rFonts w:ascii="Calibri" w:hAnsi="Calibri" w:cs="Arial"/>
      <w:kern w:val="2"/>
      <w:sz w:val="21"/>
      <w:szCs w:val="24"/>
    </w:rPr>
  </w:style>
  <w:style w:type="character" w:customStyle="1" w:styleId="14">
    <w:name w:val="批注主题 字符"/>
    <w:basedOn w:val="13"/>
    <w:link w:val="8"/>
    <w:qFormat/>
    <w:uiPriority w:val="0"/>
    <w:rPr>
      <w:rFonts w:ascii="Calibri" w:hAnsi="Calibri" w:cs="Arial"/>
      <w:b/>
      <w:bCs/>
      <w:kern w:val="2"/>
      <w:sz w:val="21"/>
      <w:szCs w:val="24"/>
    </w:rPr>
  </w:style>
  <w:style w:type="paragraph" w:customStyle="1" w:styleId="15">
    <w:name w:val="Revision"/>
    <w:hidden/>
    <w:unhideWhenUsed/>
    <w:qFormat/>
    <w:uiPriority w:val="99"/>
    <w:pPr>
      <w:spacing w:after="0" w:line="240" w:lineRule="auto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1868</Words>
  <Characters>2003</Characters>
  <Lines>15</Lines>
  <Paragraphs>4</Paragraphs>
  <TotalTime>1</TotalTime>
  <ScaleCrop>false</ScaleCrop>
  <LinksUpToDate>false</LinksUpToDate>
  <CharactersWithSpaces>2004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2023-04-12T18:20:00Z</dcterms:created>
  <dc:creator>孤狼</dc:creator>
  <cp:lastModifiedBy>kylin</cp:lastModifiedBy>
  <cp:lastPrinted>2025-10-18T15:09:00Z</cp:lastPrinted>
  <dcterms:modified xsi:type="dcterms:W3CDTF">2025-10-27T15:19:11Z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E15A1672EB084A19BADD70D3504ACDE2_13</vt:lpwstr>
  </property>
  <property fmtid="{D5CDD505-2E9C-101B-9397-08002B2CF9AE}" pid="4" name="KSOTemplateDocerSaveRecord">
    <vt:lpwstr>eyJoZGlkIjoiZTY5ZDZkZDA2OTY1YjliMmQ3ZDczOTllZWRlZjFhYTIiLCJ1c2VySWQiOiI3ODYwMjk4NzcifQ==</vt:lpwstr>
  </property>
</Properties>
</file>