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ageBreakBefore w:val="0"/>
        <w:kinsoku/>
        <w:wordWrap/>
        <w:overflowPunct/>
        <w:topLinePunct w:val="0"/>
        <w:autoSpaceDE/>
        <w:autoSpaceDN/>
        <w:bidi w:val="0"/>
        <w:spacing w:line="560" w:lineRule="exact"/>
        <w:ind w:left="0" w:leftChars="0" w:firstLine="0" w:firstLineChars="0"/>
        <w:jc w:val="center"/>
        <w:textAlignment w:val="auto"/>
        <w:rPr>
          <w:rFonts w:hint="eastAsia" w:ascii="黑体" w:hAnsi="黑体" w:eastAsia="黑体" w:cs="黑体"/>
          <w:b w:val="0"/>
          <w:bCs/>
          <w:color w:val="auto"/>
          <w:sz w:val="36"/>
          <w:szCs w:val="36"/>
          <w:highlight w:val="none"/>
        </w:rPr>
      </w:pPr>
      <w:bookmarkStart w:id="0" w:name="_Toc23198"/>
      <w:r>
        <w:rPr>
          <w:rFonts w:hint="eastAsia" w:ascii="黑体" w:hAnsi="黑体" w:eastAsia="黑体" w:cs="黑体"/>
          <w:b w:val="0"/>
          <w:bCs/>
          <w:color w:val="auto"/>
          <w:sz w:val="36"/>
          <w:szCs w:val="36"/>
          <w:highlight w:val="none"/>
          <w:lang w:eastAsia="zh-CN"/>
        </w:rPr>
        <w:t>指南</w:t>
      </w:r>
      <w:r>
        <w:rPr>
          <w:rFonts w:hint="eastAsia" w:ascii="黑体" w:hAnsi="黑体" w:eastAsia="黑体" w:cs="黑体"/>
          <w:b w:val="0"/>
          <w:bCs/>
          <w:color w:val="auto"/>
          <w:sz w:val="36"/>
          <w:szCs w:val="36"/>
          <w:highlight w:val="none"/>
          <w:lang w:val="en-US" w:eastAsia="zh-CN"/>
        </w:rPr>
        <w:t>8</w:t>
      </w:r>
      <w:r>
        <w:rPr>
          <w:rFonts w:hint="eastAsia" w:ascii="黑体" w:hAnsi="黑体" w:eastAsia="黑体" w:cs="黑体"/>
          <w:b w:val="0"/>
          <w:bCs/>
          <w:color w:val="auto"/>
          <w:sz w:val="36"/>
          <w:szCs w:val="36"/>
          <w:highlight w:val="none"/>
        </w:rPr>
        <w:t>：</w:t>
      </w:r>
      <w:bookmarkEnd w:id="0"/>
      <w:r>
        <w:rPr>
          <w:rFonts w:hint="eastAsia" w:ascii="黑体" w:hAnsi="黑体" w:eastAsia="黑体" w:cs="黑体"/>
          <w:b w:val="0"/>
          <w:bCs/>
          <w:color w:val="auto"/>
          <w:sz w:val="36"/>
          <w:szCs w:val="36"/>
          <w:highlight w:val="none"/>
        </w:rPr>
        <w:t>丙烯基聚烯烃弹性体开发及产业化</w:t>
      </w:r>
    </w:p>
    <w:p>
      <w:pPr>
        <w:rPr>
          <w:rFonts w:hint="eastAsia"/>
        </w:rPr>
      </w:pPr>
    </w:p>
    <w:p>
      <w:pPr>
        <w:pageBreakBefore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color w:val="auto"/>
          <w:sz w:val="32"/>
          <w:szCs w:val="32"/>
          <w:highlight w:val="none"/>
        </w:rPr>
      </w:pPr>
      <w:r>
        <w:rPr>
          <w:rFonts w:hint="eastAsia" w:ascii="仿宋_GB2312" w:eastAsia="仿宋_GB2312" w:cs="仿宋_GB2312"/>
          <w:b/>
          <w:bCs/>
          <w:color w:val="auto"/>
          <w:sz w:val="32"/>
          <w:szCs w:val="32"/>
          <w:highlight w:val="none"/>
        </w:rPr>
        <w:t>研究内容：</w:t>
      </w:r>
      <w:r>
        <w:rPr>
          <w:rFonts w:hint="eastAsia" w:ascii="仿宋_GB2312" w:hAnsi="仿宋_GB2312" w:eastAsia="仿宋_GB2312" w:cs="仿宋_GB2312"/>
          <w:color w:val="auto"/>
          <w:sz w:val="32"/>
          <w:szCs w:val="32"/>
          <w:highlight w:val="none"/>
        </w:rPr>
        <w:t>针对PBE开发和产业化中高效催化剂被国外巨头垄断，</w:t>
      </w:r>
      <w:r>
        <w:rPr>
          <w:rFonts w:hint="eastAsia" w:ascii="仿宋_GB2312" w:hAnsi="仿宋_GB2312" w:eastAsia="仿宋_GB2312" w:cs="仿宋_GB2312"/>
          <w:color w:val="auto"/>
          <w:sz w:val="32"/>
          <w:szCs w:val="32"/>
          <w:highlight w:val="none"/>
          <w:lang w:eastAsia="zh-CN"/>
        </w:rPr>
        <w:t>及</w:t>
      </w:r>
      <w:r>
        <w:rPr>
          <w:rFonts w:hint="eastAsia" w:ascii="仿宋_GB2312" w:hAnsi="仿宋_GB2312" w:eastAsia="仿宋_GB2312" w:cs="仿宋_GB2312"/>
          <w:color w:val="auto"/>
          <w:sz w:val="32"/>
          <w:szCs w:val="32"/>
          <w:highlight w:val="none"/>
        </w:rPr>
        <w:t>存在</w:t>
      </w:r>
      <w:r>
        <w:rPr>
          <w:rFonts w:hint="eastAsia" w:ascii="仿宋_GB2312" w:hAnsi="仿宋_GB2312" w:eastAsia="仿宋_GB2312" w:cs="仿宋_GB2312"/>
          <w:color w:val="auto"/>
          <w:sz w:val="32"/>
          <w:szCs w:val="32"/>
          <w:highlight w:val="none"/>
          <w:lang w:eastAsia="zh-CN"/>
        </w:rPr>
        <w:t>的</w:t>
      </w:r>
      <w:r>
        <w:rPr>
          <w:rFonts w:hint="eastAsia" w:ascii="仿宋_GB2312" w:hAnsi="仿宋_GB2312" w:eastAsia="仿宋_GB2312" w:cs="仿宋_GB2312"/>
          <w:color w:val="auto"/>
          <w:sz w:val="32"/>
          <w:szCs w:val="32"/>
          <w:highlight w:val="none"/>
        </w:rPr>
        <w:t>链结构难定制、多维度性能难兼顾、聚合工艺</w:t>
      </w:r>
      <w:r>
        <w:rPr>
          <w:rFonts w:hint="eastAsia" w:ascii="仿宋_GB2312" w:hAnsi="仿宋_GB2312" w:eastAsia="仿宋_GB2312" w:cs="仿宋_GB2312"/>
          <w:color w:val="auto"/>
          <w:sz w:val="32"/>
          <w:szCs w:val="32"/>
          <w:highlight w:val="none"/>
          <w:lang w:val="en-US" w:eastAsia="zh-CN"/>
        </w:rPr>
        <w:t>难</w:t>
      </w:r>
      <w:r>
        <w:rPr>
          <w:rFonts w:hint="eastAsia" w:ascii="仿宋_GB2312" w:hAnsi="仿宋_GB2312" w:eastAsia="仿宋_GB2312" w:cs="仿宋_GB2312"/>
          <w:color w:val="auto"/>
          <w:sz w:val="32"/>
          <w:szCs w:val="32"/>
          <w:highlight w:val="none"/>
        </w:rPr>
        <w:t>与过程控制风险高等问题，</w:t>
      </w:r>
      <w:r>
        <w:rPr>
          <w:rFonts w:hint="eastAsia" w:ascii="仿宋_GB2312" w:hAnsi="仿宋_GB2312" w:eastAsia="仿宋_GB2312" w:cs="仿宋_GB2312"/>
          <w:color w:val="auto"/>
          <w:sz w:val="32"/>
          <w:szCs w:val="32"/>
          <w:highlight w:val="none"/>
          <w:lang w:eastAsia="zh-CN"/>
        </w:rPr>
        <w:t>开展</w:t>
      </w:r>
      <w:r>
        <w:rPr>
          <w:rFonts w:hint="eastAsia" w:ascii="仿宋_GB2312" w:hAnsi="仿宋_GB2312" w:eastAsia="仿宋_GB2312" w:cs="仿宋_GB2312"/>
          <w:color w:val="auto"/>
          <w:sz w:val="32"/>
          <w:szCs w:val="32"/>
          <w:highlight w:val="none"/>
        </w:rPr>
        <w:t>PBE材料关键技术及智能化生产装备</w:t>
      </w:r>
      <w:r>
        <w:rPr>
          <w:rFonts w:hint="eastAsia" w:ascii="仿宋_GB2312" w:hAnsi="仿宋_GB2312" w:eastAsia="仿宋_GB2312" w:cs="仿宋_GB2312"/>
          <w:color w:val="auto"/>
          <w:sz w:val="32"/>
          <w:szCs w:val="32"/>
          <w:highlight w:val="none"/>
          <w:lang w:eastAsia="zh-CN"/>
        </w:rPr>
        <w:t>研究</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开发</w:t>
      </w:r>
      <w:r>
        <w:rPr>
          <w:rFonts w:hint="eastAsia" w:ascii="仿宋_GB2312" w:hAnsi="仿宋_GB2312" w:eastAsia="仿宋_GB2312" w:cs="仿宋_GB2312"/>
          <w:color w:val="auto"/>
          <w:sz w:val="32"/>
          <w:szCs w:val="32"/>
          <w:highlight w:val="none"/>
        </w:rPr>
        <w:t>新型高效茂金属或非茂金属催化剂及</w:t>
      </w:r>
      <w:r>
        <w:rPr>
          <w:rFonts w:hint="eastAsia" w:ascii="仿宋_GB2312" w:hAnsi="仿宋_GB2312" w:eastAsia="仿宋_GB2312" w:cs="仿宋_GB2312"/>
          <w:color w:val="auto"/>
          <w:sz w:val="32"/>
          <w:szCs w:val="32"/>
          <w:highlight w:val="none"/>
          <w:lang w:val="en-US" w:eastAsia="zh-CN"/>
        </w:rPr>
        <w:t>PBE</w:t>
      </w:r>
      <w:r>
        <w:rPr>
          <w:rFonts w:hint="eastAsia" w:ascii="仿宋_GB2312" w:hAnsi="仿宋_GB2312" w:eastAsia="仿宋_GB2312" w:cs="仿宋_GB2312"/>
          <w:color w:val="auto"/>
          <w:sz w:val="32"/>
          <w:szCs w:val="32"/>
          <w:highlight w:val="none"/>
        </w:rPr>
        <w:t>链结构控制技术，突破催化剂活性低、半衰期短、成本高的瓶颈，实现乙烯与丙烯精准共聚以定制材料性能；研究分子结构设计技术，通过调控乙烯-丙烯嵌段比、分子量及分布，平衡材料力学与加工性能；研究多维度产品性能协同优化技术，突破单一性能优化导致其他性能损耗难题，定向开发多元性能组合的 PBE 材料；研究先进溶液聚合工艺及智能化生产系统，将</w:t>
      </w:r>
      <w:r>
        <w:rPr>
          <w:rFonts w:hint="eastAsia" w:ascii="仿宋_GB2312" w:hAnsi="仿宋_GB2312" w:eastAsia="仿宋_GB2312" w:cs="仿宋_GB2312"/>
          <w:color w:val="auto"/>
          <w:sz w:val="32"/>
          <w:szCs w:val="32"/>
          <w:highlight w:val="none"/>
          <w:lang w:val="en-US" w:eastAsia="zh-CN"/>
        </w:rPr>
        <w:t>热学性能、力学性能等</w:t>
      </w:r>
      <w:r>
        <w:rPr>
          <w:rFonts w:hint="eastAsia" w:ascii="仿宋_GB2312" w:hAnsi="仿宋_GB2312" w:eastAsia="仿宋_GB2312" w:cs="仿宋_GB2312"/>
          <w:color w:val="auto"/>
          <w:sz w:val="32"/>
          <w:szCs w:val="32"/>
          <w:highlight w:val="none"/>
        </w:rPr>
        <w:t>产品性能波动变异系数降至5%以下，形成成套 PBE 生产方案，研制千吨级中试及万吨级工业化装置，在多领域推动PBE材料应用。</w:t>
      </w:r>
    </w:p>
    <w:p>
      <w:pPr>
        <w:pageBreakBefore w:val="0"/>
        <w:kinsoku/>
        <w:wordWrap/>
        <w:overflowPunct/>
        <w:topLinePunct w:val="0"/>
        <w:autoSpaceDE/>
        <w:autoSpaceDN/>
        <w:bidi w:val="0"/>
        <w:spacing w:line="560" w:lineRule="exact"/>
        <w:ind w:firstLine="642" w:firstLineChars="200"/>
        <w:textAlignment w:val="auto"/>
        <w:rPr>
          <w:rFonts w:ascii="Times New Roman" w:hAnsi="Times New Roman" w:eastAsia="仿宋_GB2312" w:cs="Times New Roman"/>
          <w:b/>
          <w:bCs/>
          <w:color w:val="auto"/>
          <w:sz w:val="32"/>
          <w:szCs w:val="32"/>
          <w:highlight w:val="none"/>
        </w:rPr>
      </w:pPr>
      <w:r>
        <w:rPr>
          <w:rFonts w:ascii="Times New Roman" w:hAnsi="Times New Roman" w:eastAsia="仿宋_GB2312" w:cs="Times New Roman"/>
          <w:b/>
          <w:bCs/>
          <w:color w:val="auto"/>
          <w:sz w:val="32"/>
          <w:szCs w:val="32"/>
          <w:highlight w:val="none"/>
        </w:rPr>
        <w:t>考核指标：</w:t>
      </w:r>
      <w:bookmarkStart w:id="1" w:name="_Hlk210317432"/>
    </w:p>
    <w:p>
      <w:pPr>
        <w:pageBreakBefore w:val="0"/>
        <w:kinsoku/>
        <w:wordWrap/>
        <w:overflowPunct/>
        <w:topLinePunct w:val="0"/>
        <w:autoSpaceDE/>
        <w:autoSpaceDN/>
        <w:bidi w:val="0"/>
        <w:spacing w:line="560" w:lineRule="exact"/>
        <w:ind w:firstLine="642" w:firstLineChars="200"/>
        <w:textAlignment w:val="auto"/>
        <w:rPr>
          <w:color w:val="auto"/>
          <w:highlight w:val="none"/>
        </w:rPr>
      </w:pPr>
      <w:r>
        <w:rPr>
          <w:rFonts w:hint="eastAsia" w:ascii="Times New Roman" w:hAnsi="Times New Roman" w:eastAsia="仿宋_GB2312" w:cs="Times New Roman"/>
          <w:b/>
          <w:bCs/>
          <w:color w:val="auto"/>
          <w:sz w:val="32"/>
          <w:szCs w:val="32"/>
          <w:highlight w:val="none"/>
          <w:lang w:eastAsia="zh-CN"/>
        </w:rPr>
        <w:t>（一）</w:t>
      </w:r>
      <w:r>
        <w:rPr>
          <w:rFonts w:hint="eastAsia" w:ascii="Times New Roman" w:hAnsi="Times New Roman" w:eastAsia="仿宋_GB2312" w:cs="Times New Roman"/>
          <w:b/>
          <w:bCs/>
          <w:color w:val="auto"/>
          <w:sz w:val="32"/>
          <w:szCs w:val="32"/>
          <w:highlight w:val="none"/>
        </w:rPr>
        <w:t>项目</w:t>
      </w:r>
      <w:r>
        <w:rPr>
          <w:rFonts w:ascii="Times New Roman" w:hAnsi="Times New Roman" w:eastAsia="仿宋_GB2312" w:cs="Times New Roman"/>
          <w:b/>
          <w:bCs/>
          <w:color w:val="auto"/>
          <w:sz w:val="32"/>
          <w:szCs w:val="32"/>
          <w:highlight w:val="none"/>
        </w:rPr>
        <w:t>验收指标：</w:t>
      </w:r>
      <w:r>
        <w:rPr>
          <w:rFonts w:ascii="仿宋_GB2312" w:hAnsi="仿宋_GB2312" w:eastAsia="仿宋_GB2312" w:cs="仿宋_GB2312"/>
          <w:color w:val="auto"/>
          <w:sz w:val="32"/>
          <w:szCs w:val="32"/>
          <w:highlight w:val="none"/>
        </w:rPr>
        <w:t xml:space="preserve">研制高活性聚合系列催化剂，活性不低于 10⁷g </w:t>
      </w:r>
      <w:r>
        <w:rPr>
          <w:rFonts w:hint="eastAsia" w:ascii="仿宋_GB2312" w:hAnsi="仿宋_GB2312" w:eastAsia="仿宋_GB2312" w:cs="仿宋_GB2312"/>
          <w:color w:val="auto"/>
          <w:sz w:val="32"/>
          <w:szCs w:val="32"/>
          <w:highlight w:val="none"/>
          <w:lang w:val="en-US" w:eastAsia="zh-CN"/>
        </w:rPr>
        <w:t>聚合物</w:t>
      </w:r>
      <w:r>
        <w:rPr>
          <w:rFonts w:hint="default" w:ascii="Times New Roman" w:hAnsi="Times New Roman" w:eastAsia="仿宋_GB2312" w:cs="Times New Roman"/>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mol</w:t>
      </w:r>
      <w:r>
        <w:rPr>
          <w:rFonts w:hint="eastAsia" w:ascii="仿宋_GB2312" w:hAnsi="仿宋_GB2312" w:eastAsia="仿宋_GB2312" w:cs="仿宋_GB2312"/>
          <w:color w:val="auto"/>
          <w:sz w:val="32"/>
          <w:szCs w:val="32"/>
          <w:highlight w:val="none"/>
          <w:vertAlign w:val="superscript"/>
          <w:lang w:val="en-US" w:eastAsia="zh-CN"/>
        </w:rPr>
        <w:t>-1</w:t>
      </w:r>
      <w:r>
        <w:rPr>
          <w:rFonts w:hint="eastAsia" w:ascii="仿宋_GB2312" w:hAnsi="仿宋_GB2312" w:eastAsia="仿宋_GB2312" w:cs="仿宋_GB2312"/>
          <w:color w:val="auto"/>
          <w:sz w:val="32"/>
          <w:szCs w:val="32"/>
          <w:highlight w:val="none"/>
          <w:vertAlign w:val="subscript"/>
          <w:lang w:val="en-US" w:eastAsia="zh-CN"/>
        </w:rPr>
        <w:t>cat</w:t>
      </w:r>
      <w:r>
        <w:rPr>
          <w:rFonts w:hint="default" w:ascii="Times New Roman" w:hAnsi="Times New Roman" w:eastAsia="仿宋_GB2312" w:cs="Times New Roman"/>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h</w:t>
      </w:r>
      <w:r>
        <w:rPr>
          <w:rFonts w:hint="eastAsia" w:ascii="仿宋_GB2312" w:hAnsi="仿宋_GB2312" w:eastAsia="仿宋_GB2312" w:cs="仿宋_GB2312"/>
          <w:color w:val="auto"/>
          <w:sz w:val="32"/>
          <w:szCs w:val="32"/>
          <w:highlight w:val="none"/>
          <w:vertAlign w:val="superscript"/>
          <w:lang w:val="en-US" w:eastAsia="zh-CN"/>
        </w:rPr>
        <w:t>-1</w:t>
      </w:r>
      <w:r>
        <w:rPr>
          <w:rFonts w:ascii="仿宋_GB2312" w:hAnsi="仿宋_GB2312" w:eastAsia="仿宋_GB2312" w:cs="仿宋_GB2312"/>
          <w:color w:val="auto"/>
          <w:sz w:val="32"/>
          <w:szCs w:val="32"/>
          <w:highlight w:val="none"/>
        </w:rPr>
        <w:t>，制备批次稳定性≥95%，连续使用时间≥72 小时；开发低灰分挥发分残留的溶液先进连续聚合工艺，可制吨级产品，金属残余&lt;300ppm，VOCs&lt;500ppm。开发两类PBE产品：①高分子量/低熔指型，MFR 3.0-20g/10min（230℃/2.16kg）</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熔融指数变化为±0.5 g/10 min</w:t>
      </w:r>
      <w:r>
        <w:rPr>
          <w:rFonts w:ascii="仿宋_GB2312" w:hAnsi="仿宋_GB2312" w:eastAsia="仿宋_GB2312" w:cs="仿宋_GB2312"/>
          <w:color w:val="auto"/>
          <w:sz w:val="32"/>
          <w:szCs w:val="32"/>
          <w:highlight w:val="none"/>
        </w:rPr>
        <w:t>，乙烯插入率&gt;10wt%，分子量&gt;100kg・mol</w:t>
      </w:r>
      <w:r>
        <w:rPr>
          <w:rFonts w:ascii="Cambria Math" w:hAnsi="Cambria Math" w:eastAsia="仿宋_GB2312" w:cs="Cambria Math"/>
          <w:color w:val="auto"/>
          <w:sz w:val="32"/>
          <w:szCs w:val="32"/>
          <w:highlight w:val="none"/>
        </w:rPr>
        <w:t>⁻</w:t>
      </w:r>
      <w:r>
        <w:rPr>
          <w:rFonts w:hint="eastAsia" w:ascii="微软雅黑" w:hAnsi="微软雅黑" w:eastAsia="微软雅黑" w:cs="微软雅黑"/>
          <w:color w:val="auto"/>
          <w:sz w:val="32"/>
          <w:szCs w:val="32"/>
          <w:highlight w:val="none"/>
        </w:rPr>
        <w:t>¹</w:t>
      </w:r>
      <w:r>
        <w:rPr>
          <w:rFonts w:ascii="仿宋_GB2312" w:hAnsi="仿宋_GB2312" w:eastAsia="仿宋_GB2312" w:cs="仿宋_GB2312"/>
          <w:color w:val="auto"/>
          <w:sz w:val="32"/>
          <w:szCs w:val="32"/>
          <w:highlight w:val="none"/>
        </w:rPr>
        <w:t>，拉伸强度&gt; 8MPa</w:t>
      </w:r>
      <w:r>
        <w:rPr>
          <w:rFonts w:hint="eastAsia" w:ascii="仿宋_GB2312" w:hAnsi="仿宋_GB2312" w:eastAsia="仿宋_GB2312" w:cs="仿宋_GB2312"/>
          <w:color w:val="auto"/>
          <w:sz w:val="32"/>
          <w:szCs w:val="32"/>
          <w:highlight w:val="none"/>
          <w:lang w:eastAsia="zh-CN"/>
        </w:rPr>
        <w:t>，</w:t>
      </w:r>
      <w:r>
        <w:rPr>
          <w:rFonts w:hint="eastAsia" w:ascii="Times New Roman" w:hAnsi="Times New Roman" w:eastAsia="仿宋_GB2312" w:cs="Times New Roman"/>
          <w:b w:val="0"/>
          <w:bCs w:val="0"/>
          <w:color w:val="auto"/>
          <w:sz w:val="32"/>
          <w:szCs w:val="32"/>
          <w:highlight w:val="none"/>
        </w:rPr>
        <w:t>拉伸永久变形</w:t>
      </w:r>
      <w:r>
        <w:rPr>
          <w:rFonts w:hint="eastAsia" w:ascii="Times New Roman" w:hAnsi="Times New Roman" w:eastAsia="仿宋_GB2312" w:cs="Times New Roman"/>
          <w:b w:val="0"/>
          <w:bCs w:val="0"/>
          <w:color w:val="auto"/>
          <w:sz w:val="32"/>
          <w:szCs w:val="32"/>
          <w:highlight w:val="none"/>
          <w:lang w:val="en-US" w:eastAsia="zh-CN"/>
        </w:rPr>
        <w:t>≤45%；</w:t>
      </w:r>
      <w:r>
        <w:rPr>
          <w:rFonts w:ascii="仿宋_GB2312" w:hAnsi="仿宋_GB2312" w:eastAsia="仿宋_GB2312" w:cs="仿宋_GB2312"/>
          <w:color w:val="auto"/>
          <w:sz w:val="32"/>
          <w:szCs w:val="32"/>
          <w:highlight w:val="none"/>
        </w:rPr>
        <w:t xml:space="preserve">②低分子量/高熔指型，MFR 20-50g/10min(230℃/2.16kg)，乙烯插入率&gt;13wt%，挠曲模量&lt;65MPa。两类产品紫外透光率&gt;80.0%、可见光透光率&gt;91.0%，密度0.861-0.875g/cm³，邵氏硬度 </w:t>
      </w:r>
      <w:r>
        <w:rPr>
          <w:rFonts w:hint="eastAsia" w:ascii="仿宋_GB2312" w:hAnsi="仿宋_GB2312" w:eastAsia="仿宋_GB2312" w:cs="仿宋_GB2312"/>
          <w:color w:val="auto"/>
          <w:sz w:val="32"/>
          <w:szCs w:val="32"/>
          <w:highlight w:val="none"/>
          <w:lang w:val="en-US" w:eastAsia="zh-CN"/>
        </w:rPr>
        <w:t>4</w:t>
      </w:r>
      <w:r>
        <w:rPr>
          <w:rFonts w:ascii="仿宋_GB2312" w:hAnsi="仿宋_GB2312" w:eastAsia="仿宋_GB2312" w:cs="仿宋_GB2312"/>
          <w:color w:val="auto"/>
          <w:sz w:val="32"/>
          <w:szCs w:val="32"/>
          <w:highlight w:val="none"/>
        </w:rPr>
        <w:t>0-80A。PBE</w:t>
      </w:r>
      <w:r>
        <w:rPr>
          <w:rFonts w:hint="eastAsia" w:ascii="仿宋_GB2312" w:hAnsi="仿宋_GB2312" w:eastAsia="仿宋_GB2312" w:cs="仿宋_GB2312"/>
          <w:color w:val="auto"/>
          <w:sz w:val="32"/>
          <w:szCs w:val="32"/>
          <w:highlight w:val="none"/>
          <w:lang w:val="en-US" w:eastAsia="zh-CN"/>
        </w:rPr>
        <w:t>可用于薄膜、改性、防水卷材、无纺布等领域，其中PBE所制备的</w:t>
      </w:r>
      <w:r>
        <w:rPr>
          <w:rFonts w:ascii="仿宋_GB2312" w:hAnsi="仿宋_GB2312" w:eastAsia="仿宋_GB2312" w:cs="仿宋_GB2312"/>
          <w:color w:val="auto"/>
          <w:sz w:val="32"/>
          <w:szCs w:val="32"/>
          <w:highlight w:val="none"/>
        </w:rPr>
        <w:t>CPP</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聚丙烯流延膜</w:t>
      </w:r>
      <w:r>
        <w:rPr>
          <w:rFonts w:hint="eastAsia" w:ascii="仿宋_GB2312" w:hAnsi="仿宋_GB2312" w:eastAsia="仿宋_GB2312" w:cs="仿宋_GB2312"/>
          <w:color w:val="auto"/>
          <w:sz w:val="32"/>
          <w:szCs w:val="32"/>
          <w:highlight w:val="none"/>
          <w:lang w:eastAsia="zh-CN"/>
        </w:rPr>
        <w:t>）</w:t>
      </w:r>
      <w:r>
        <w:rPr>
          <w:rFonts w:ascii="仿宋_GB2312" w:hAnsi="仿宋_GB2312" w:eastAsia="仿宋_GB2312" w:cs="仿宋_GB2312"/>
          <w:color w:val="auto"/>
          <w:sz w:val="32"/>
          <w:szCs w:val="32"/>
          <w:highlight w:val="none"/>
        </w:rPr>
        <w:t>薄膜拉伸强度≥25MPa，断裂标称应变≥280%，雾度≤8%，热封温度&lt;145℃；完成万吨级工艺包并示范应用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产出≥1万吨产品</w:t>
      </w:r>
      <w:r>
        <w:rPr>
          <w:rFonts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rPr>
        <w:t>授权</w:t>
      </w:r>
      <w:r>
        <w:rPr>
          <w:rFonts w:ascii="仿宋_GB2312" w:hAnsi="仿宋_GB2312" w:eastAsia="仿宋_GB2312" w:cs="仿宋_GB2312"/>
          <w:color w:val="auto"/>
          <w:sz w:val="32"/>
          <w:szCs w:val="32"/>
          <w:highlight w:val="none"/>
        </w:rPr>
        <w:t>发明专利≥</w:t>
      </w:r>
      <w:r>
        <w:rPr>
          <w:rFonts w:hint="eastAsia" w:ascii="仿宋_GB2312" w:hAnsi="仿宋_GB2312" w:eastAsia="仿宋_GB2312" w:cs="仿宋_GB2312"/>
          <w:color w:val="auto"/>
          <w:sz w:val="32"/>
          <w:szCs w:val="32"/>
          <w:highlight w:val="none"/>
        </w:rPr>
        <w:t>3</w:t>
      </w:r>
      <w:r>
        <w:rPr>
          <w:rFonts w:ascii="仿宋_GB2312" w:hAnsi="仿宋_GB2312" w:eastAsia="仿宋_GB2312" w:cs="仿宋_GB2312"/>
          <w:color w:val="auto"/>
          <w:sz w:val="32"/>
          <w:szCs w:val="32"/>
          <w:highlight w:val="none"/>
        </w:rPr>
        <w:t>件，制定/修订</w:t>
      </w:r>
      <w:r>
        <w:rPr>
          <w:rFonts w:hint="eastAsia" w:ascii="仿宋_GB2312" w:hAnsi="仿宋_GB2312" w:eastAsia="仿宋_GB2312" w:cs="仿宋_GB2312"/>
          <w:color w:val="auto"/>
          <w:sz w:val="32"/>
          <w:szCs w:val="32"/>
          <w:highlight w:val="none"/>
          <w:lang w:val="en-US" w:eastAsia="zh-CN"/>
        </w:rPr>
        <w:t>团体</w:t>
      </w:r>
      <w:r>
        <w:rPr>
          <w:rFonts w:ascii="仿宋_GB2312" w:hAnsi="仿宋_GB2312" w:eastAsia="仿宋_GB2312" w:cs="仿宋_GB2312"/>
          <w:color w:val="auto"/>
          <w:sz w:val="32"/>
          <w:szCs w:val="32"/>
          <w:highlight w:val="none"/>
        </w:rPr>
        <w:t>标准≥</w:t>
      </w:r>
      <w:r>
        <w:rPr>
          <w:rFonts w:hint="eastAsia" w:ascii="仿宋_GB2312" w:hAnsi="仿宋_GB2312" w:eastAsia="仿宋_GB2312" w:cs="仿宋_GB2312"/>
          <w:color w:val="auto"/>
          <w:sz w:val="32"/>
          <w:szCs w:val="32"/>
          <w:highlight w:val="none"/>
          <w:lang w:val="en-US" w:eastAsia="zh-CN"/>
        </w:rPr>
        <w:t>1</w:t>
      </w:r>
      <w:r>
        <w:rPr>
          <w:rFonts w:ascii="仿宋_GB2312" w:hAnsi="仿宋_GB2312" w:eastAsia="仿宋_GB2312" w:cs="仿宋_GB2312"/>
          <w:color w:val="auto"/>
          <w:sz w:val="32"/>
          <w:szCs w:val="32"/>
          <w:highlight w:val="none"/>
        </w:rPr>
        <w:t>项。</w:t>
      </w:r>
      <w:bookmarkEnd w:id="1"/>
    </w:p>
    <w:p>
      <w:pPr>
        <w:pStyle w:val="11"/>
        <w:pageBreakBefore w:val="0"/>
        <w:numPr>
          <w:ilvl w:val="0"/>
          <w:numId w:val="0"/>
        </w:numPr>
        <w:kinsoku/>
        <w:wordWrap/>
        <w:overflowPunct/>
        <w:topLinePunct w:val="0"/>
        <w:autoSpaceDE/>
        <w:autoSpaceDN/>
        <w:bidi w:val="0"/>
        <w:spacing w:line="560" w:lineRule="exact"/>
        <w:ind w:firstLine="642" w:firstLineChars="200"/>
        <w:textAlignment w:val="auto"/>
        <w:rPr>
          <w:rFonts w:ascii="仿宋_GB2312" w:eastAsia="仿宋_GB2312" w:cs="仿宋_GB2312"/>
          <w:b/>
          <w:bCs/>
          <w:color w:val="auto"/>
          <w:sz w:val="32"/>
          <w:szCs w:val="32"/>
          <w:highlight w:val="none"/>
        </w:rPr>
      </w:pPr>
      <w:r>
        <w:rPr>
          <w:rFonts w:hint="eastAsia" w:ascii="仿宋_GB2312" w:hAnsi="Calibri" w:eastAsia="仿宋_GB2312" w:cs="仿宋_GB2312"/>
          <w:b/>
          <w:bCs/>
          <w:color w:val="auto"/>
          <w:kern w:val="2"/>
          <w:sz w:val="32"/>
          <w:szCs w:val="32"/>
          <w:highlight w:val="none"/>
          <w:lang w:val="en-US" w:eastAsia="zh-CN" w:bidi="ar-SA"/>
        </w:rPr>
        <w:t>（</w:t>
      </w:r>
      <w:r>
        <w:rPr>
          <w:rFonts w:hint="eastAsia" w:ascii="仿宋_GB2312" w:eastAsia="仿宋_GB2312" w:cs="仿宋_GB2312"/>
          <w:b/>
          <w:bCs/>
          <w:color w:val="auto"/>
          <w:kern w:val="2"/>
          <w:sz w:val="32"/>
          <w:szCs w:val="32"/>
          <w:highlight w:val="none"/>
          <w:lang w:val="en-US" w:eastAsia="zh-CN" w:bidi="ar-SA"/>
        </w:rPr>
        <w:t>二</w:t>
      </w:r>
      <w:r>
        <w:rPr>
          <w:rFonts w:hint="eastAsia" w:ascii="仿宋_GB2312" w:hAnsi="Calibri" w:eastAsia="仿宋_GB2312" w:cs="仿宋_GB2312"/>
          <w:b/>
          <w:bCs/>
          <w:color w:val="auto"/>
          <w:kern w:val="2"/>
          <w:sz w:val="32"/>
          <w:szCs w:val="32"/>
          <w:highlight w:val="none"/>
          <w:lang w:val="en-US" w:eastAsia="zh-CN" w:bidi="ar-SA"/>
        </w:rPr>
        <w:t>）</w:t>
      </w:r>
      <w:r>
        <w:rPr>
          <w:rFonts w:hint="eastAsia" w:ascii="Times New Roman" w:hAnsi="Times New Roman" w:eastAsia="仿宋_GB2312" w:cs="Times New Roman"/>
          <w:b/>
          <w:bCs/>
          <w:color w:val="auto"/>
          <w:sz w:val="32"/>
          <w:szCs w:val="32"/>
          <w:highlight w:val="none"/>
        </w:rPr>
        <w:t>绩效</w:t>
      </w:r>
      <w:r>
        <w:rPr>
          <w:rFonts w:ascii="Times New Roman" w:hAnsi="Times New Roman" w:eastAsia="仿宋_GB2312" w:cs="Times New Roman"/>
          <w:b/>
          <w:bCs/>
          <w:color w:val="auto"/>
          <w:sz w:val="32"/>
          <w:szCs w:val="32"/>
          <w:highlight w:val="none"/>
        </w:rPr>
        <w:t>评价指标：</w:t>
      </w:r>
      <w:r>
        <w:rPr>
          <w:rFonts w:hint="eastAsia" w:ascii="Times New Roman" w:hAnsi="Times New Roman" w:eastAsia="仿宋_GB2312" w:cs="Times New Roman"/>
          <w:b w:val="0"/>
          <w:bCs w:val="0"/>
          <w:color w:val="auto"/>
          <w:sz w:val="32"/>
          <w:szCs w:val="32"/>
          <w:highlight w:val="none"/>
        </w:rPr>
        <w:t>突破PBE全流程核心技术，建成并稳定运行国内首套万吨级PBE工业装置</w:t>
      </w:r>
      <w:r>
        <w:rPr>
          <w:rFonts w:hint="eastAsia" w:ascii="仿宋_GB2312" w:eastAsia="仿宋_GB2312" w:cs="仿宋_GB2312"/>
          <w:b w:val="0"/>
          <w:bCs w:val="0"/>
          <w:color w:val="auto"/>
          <w:sz w:val="32"/>
          <w:szCs w:val="32"/>
          <w:highlight w:val="none"/>
        </w:rPr>
        <w:t>；项目建成投产后预计年新增产值不低于1亿元，直接带动就业不少于30人。</w:t>
      </w:r>
    </w:p>
    <w:p>
      <w:pPr>
        <w:pageBreakBefore w:val="0"/>
        <w:kinsoku/>
        <w:wordWrap/>
        <w:overflowPunct/>
        <w:topLinePunct w:val="0"/>
        <w:autoSpaceDE/>
        <w:autoSpaceDN/>
        <w:bidi w:val="0"/>
        <w:spacing w:line="560" w:lineRule="exact"/>
        <w:ind w:firstLine="642" w:firstLineChars="200"/>
        <w:textAlignment w:val="auto"/>
        <w:rPr>
          <w:rFonts w:ascii="仿宋_GB2312" w:eastAsia="仿宋_GB2312" w:cs="仿宋_GB2312"/>
          <w:b w:val="0"/>
          <w:bCs w:val="0"/>
          <w:color w:val="auto"/>
          <w:sz w:val="32"/>
          <w:szCs w:val="32"/>
          <w:highlight w:val="none"/>
        </w:rPr>
      </w:pPr>
      <w:r>
        <w:rPr>
          <w:rFonts w:ascii="Times New Roman" w:hAnsi="Times New Roman" w:eastAsia="仿宋_GB2312" w:cs="Times New Roman"/>
          <w:b/>
          <w:bCs/>
          <w:color w:val="auto"/>
          <w:sz w:val="32"/>
          <w:szCs w:val="32"/>
          <w:highlight w:val="none"/>
        </w:rPr>
        <w:t>申报条件：</w:t>
      </w:r>
      <w:r>
        <w:rPr>
          <w:rFonts w:hint="eastAsia" w:ascii="仿宋_GB2312" w:eastAsia="仿宋_GB2312" w:cs="仿宋_GB2312"/>
          <w:b w:val="0"/>
          <w:bCs w:val="0"/>
          <w:color w:val="auto"/>
          <w:sz w:val="32"/>
          <w:szCs w:val="32"/>
          <w:highlight w:val="none"/>
        </w:rPr>
        <w:t>市内独立法人企业牵头联合市内外优势科研力量组建创新联合体申报，牵头企业研发占比不低于5%</w:t>
      </w:r>
      <w:r>
        <w:rPr>
          <w:rFonts w:hint="eastAsia" w:ascii="仿宋_GB2312" w:eastAsia="仿宋_GB2312" w:cs="仿宋_GB2312"/>
          <w:b w:val="0"/>
          <w:bCs w:val="0"/>
          <w:color w:val="auto"/>
          <w:sz w:val="32"/>
          <w:szCs w:val="32"/>
          <w:highlight w:val="none"/>
          <w:lang w:eastAsia="zh-CN"/>
        </w:rPr>
        <w:t>；</w:t>
      </w:r>
      <w:r>
        <w:rPr>
          <w:rFonts w:hint="eastAsia" w:ascii="Times New Roman" w:hAnsi="Times New Roman" w:eastAsia="仿宋_GB2312" w:cs="Times New Roman"/>
          <w:sz w:val="32"/>
          <w:szCs w:val="32"/>
          <w:highlight w:val="none"/>
          <w:lang w:eastAsia="zh-CN"/>
        </w:rPr>
        <w:t>总投资不低于</w:t>
      </w:r>
      <w:r>
        <w:rPr>
          <w:rFonts w:hint="eastAsia" w:ascii="Times New Roman" w:hAnsi="Times New Roman" w:eastAsia="仿宋_GB2312" w:cs="Times New Roman"/>
          <w:sz w:val="32"/>
          <w:szCs w:val="32"/>
          <w:highlight w:val="none"/>
          <w:lang w:val="en-US" w:eastAsia="zh-CN"/>
        </w:rPr>
        <w:t>5000万元</w:t>
      </w:r>
      <w:r>
        <w:rPr>
          <w:rFonts w:hint="eastAsia" w:ascii="仿宋_GB2312" w:eastAsia="仿宋_GB2312" w:cs="仿宋_GB2312"/>
          <w:b w:val="0"/>
          <w:bCs w:val="0"/>
          <w:color w:val="auto"/>
          <w:sz w:val="32"/>
          <w:szCs w:val="32"/>
          <w:highlight w:val="none"/>
        </w:rPr>
        <w:t>。</w:t>
      </w:r>
    </w:p>
    <w:p>
      <w:pPr>
        <w:pageBreakBefore w:val="0"/>
        <w:kinsoku/>
        <w:wordWrap/>
        <w:overflowPunct/>
        <w:topLinePunct w:val="0"/>
        <w:autoSpaceDE/>
        <w:autoSpaceDN/>
        <w:bidi w:val="0"/>
        <w:spacing w:line="560" w:lineRule="exact"/>
        <w:ind w:firstLine="642" w:firstLineChars="200"/>
        <w:textAlignment w:val="auto"/>
        <w:rPr>
          <w:rFonts w:ascii="仿宋_GB2312" w:eastAsia="仿宋_GB2312" w:cs="仿宋_GB2312"/>
          <w:b/>
          <w:bCs/>
          <w:color w:val="auto"/>
          <w:sz w:val="32"/>
          <w:szCs w:val="32"/>
          <w:highlight w:val="none"/>
        </w:rPr>
      </w:pPr>
      <w:r>
        <w:rPr>
          <w:rFonts w:ascii="Times New Roman" w:hAnsi="Times New Roman" w:eastAsia="仿宋_GB2312" w:cs="Times New Roman"/>
          <w:b/>
          <w:bCs/>
          <w:color w:val="auto"/>
          <w:sz w:val="32"/>
          <w:szCs w:val="32"/>
          <w:highlight w:val="none"/>
        </w:rPr>
        <w:t>技术成熟度：</w:t>
      </w:r>
      <w:r>
        <w:rPr>
          <w:rFonts w:hint="eastAsia" w:ascii="仿宋_GB2312" w:eastAsia="仿宋_GB2312" w:cs="仿宋_GB2312"/>
          <w:b w:val="0"/>
          <w:bCs w:val="0"/>
          <w:color w:val="auto"/>
          <w:sz w:val="32"/>
          <w:szCs w:val="32"/>
          <w:highlight w:val="none"/>
        </w:rPr>
        <w:t>当前等级不低于5级，完成后不低于10级。</w:t>
      </w:r>
    </w:p>
    <w:p>
      <w:pPr>
        <w:pageBreakBefore w:val="0"/>
        <w:kinsoku/>
        <w:wordWrap/>
        <w:overflowPunct/>
        <w:topLinePunct w:val="0"/>
        <w:autoSpaceDE/>
        <w:autoSpaceDN/>
        <w:bidi w:val="0"/>
        <w:spacing w:line="560" w:lineRule="exact"/>
        <w:ind w:firstLine="642" w:firstLineChars="200"/>
        <w:textAlignment w:val="auto"/>
        <w:rPr>
          <w:rFonts w:hint="eastAsia" w:ascii="仿宋_GB2312" w:eastAsia="仿宋_GB2312" w:cs="仿宋_GB2312"/>
          <w:b w:val="0"/>
          <w:bCs w:val="0"/>
          <w:color w:val="auto"/>
          <w:sz w:val="32"/>
          <w:szCs w:val="32"/>
          <w:highlight w:val="none"/>
          <w:lang w:eastAsia="zh-CN"/>
        </w:rPr>
      </w:pPr>
      <w:r>
        <w:rPr>
          <w:rFonts w:ascii="Times New Roman" w:hAnsi="Times New Roman" w:eastAsia="仿宋_GB2312" w:cs="Times New Roman"/>
          <w:b/>
          <w:bCs/>
          <w:color w:val="auto"/>
          <w:sz w:val="32"/>
          <w:szCs w:val="32"/>
          <w:highlight w:val="none"/>
        </w:rPr>
        <w:t>项目交示件：</w:t>
      </w:r>
      <w:r>
        <w:rPr>
          <w:rFonts w:hint="eastAsia" w:ascii="仿宋_GB2312" w:eastAsia="仿宋_GB2312" w:cs="仿宋_GB2312"/>
          <w:b w:val="0"/>
          <w:bCs w:val="0"/>
          <w:color w:val="auto"/>
          <w:sz w:val="32"/>
          <w:szCs w:val="32"/>
          <w:highlight w:val="none"/>
          <w:lang w:val="en-US" w:eastAsia="zh-CN"/>
        </w:rPr>
        <w:t>PBE催化剂残留金属量</w:t>
      </w:r>
      <w:r>
        <w:rPr>
          <w:rFonts w:hint="eastAsia" w:ascii="仿宋_GB2312" w:eastAsia="仿宋_GB2312" w:cs="仿宋_GB2312"/>
          <w:b w:val="0"/>
          <w:bCs w:val="0"/>
          <w:color w:val="auto"/>
          <w:sz w:val="32"/>
          <w:szCs w:val="32"/>
          <w:highlight w:val="none"/>
        </w:rPr>
        <w:t>第三方质量检测报告；工业化装置连续运行考核报告；丙烯基弹性体（PBE）下游客户应用报告、</w:t>
      </w:r>
      <w:r>
        <w:rPr>
          <w:rFonts w:hint="eastAsia" w:ascii="仿宋_GB2312" w:eastAsia="仿宋_GB2312" w:cs="仿宋_GB2312"/>
          <w:b w:val="0"/>
          <w:bCs w:val="0"/>
          <w:color w:val="auto"/>
          <w:sz w:val="32"/>
          <w:szCs w:val="32"/>
          <w:highlight w:val="none"/>
          <w:lang w:val="en-US" w:eastAsia="zh-CN"/>
        </w:rPr>
        <w:t>PBE产品</w:t>
      </w:r>
      <w:r>
        <w:rPr>
          <w:rFonts w:hint="eastAsia" w:ascii="仿宋_GB2312" w:eastAsia="仿宋_GB2312" w:cs="仿宋_GB2312"/>
          <w:b w:val="0"/>
          <w:bCs w:val="0"/>
          <w:color w:val="auto"/>
          <w:sz w:val="32"/>
          <w:szCs w:val="32"/>
          <w:highlight w:val="none"/>
        </w:rPr>
        <w:t>第三方质量检测报告、产品销售合同；项目受理/授权专利证书；第三方机构经济效益审计报告</w:t>
      </w:r>
      <w:r>
        <w:rPr>
          <w:rFonts w:hint="eastAsia" w:ascii="仿宋_GB2312" w:eastAsia="仿宋_GB2312" w:cs="仿宋_GB2312"/>
          <w:b w:val="0"/>
          <w:bCs w:val="0"/>
          <w:color w:val="auto"/>
          <w:sz w:val="32"/>
          <w:szCs w:val="32"/>
          <w:highlight w:val="none"/>
          <w:lang w:eastAsia="zh-CN"/>
        </w:rPr>
        <w:t>；</w:t>
      </w:r>
      <w:r>
        <w:rPr>
          <w:rFonts w:hint="eastAsia" w:ascii="仿宋_GB2312" w:hAnsi="仿宋_GB2312" w:eastAsia="仿宋_GB2312" w:cs="仿宋_GB2312"/>
          <w:color w:val="000000" w:themeColor="text1"/>
          <w:sz w:val="32"/>
          <w:szCs w:val="32"/>
          <w14:textFill>
            <w14:solidFill>
              <w14:schemeClr w14:val="tx1"/>
            </w14:solidFill>
          </w14:textFill>
        </w:rPr>
        <w:t>产业化</w:t>
      </w:r>
      <w:r>
        <w:rPr>
          <w:rFonts w:hint="eastAsia" w:ascii="仿宋_GB2312" w:hAnsi="仿宋_GB2312" w:eastAsia="仿宋_GB2312" w:cs="仿宋_GB2312"/>
          <w:color w:val="000000" w:themeColor="text1"/>
          <w:sz w:val="32"/>
          <w:szCs w:val="32"/>
          <w:lang w:eastAsia="zh-CN"/>
          <w14:textFill>
            <w14:solidFill>
              <w14:schemeClr w14:val="tx1"/>
            </w14:solidFill>
          </w14:textFill>
        </w:rPr>
        <w:t>生产须</w:t>
      </w:r>
      <w:r>
        <w:rPr>
          <w:rFonts w:hint="eastAsia" w:ascii="仿宋_GB2312" w:hAnsi="仿宋_GB2312" w:eastAsia="仿宋_GB2312" w:cs="仿宋_GB2312"/>
          <w:color w:val="000000" w:themeColor="text1"/>
          <w:sz w:val="32"/>
          <w:szCs w:val="32"/>
          <w14:textFill>
            <w14:solidFill>
              <w14:schemeClr w14:val="tx1"/>
            </w14:solidFill>
          </w14:textFill>
        </w:rPr>
        <w:t>落地滨州市企业。</w:t>
      </w:r>
      <w:bookmarkStart w:id="2" w:name="_GoBack"/>
      <w:bookmarkEnd w:id="2"/>
    </w:p>
    <w:p>
      <w:pPr>
        <w:pageBreakBefore w:val="0"/>
        <w:kinsoku/>
        <w:wordWrap/>
        <w:overflowPunct/>
        <w:topLinePunct w:val="0"/>
        <w:autoSpaceDE/>
        <w:autoSpaceDN/>
        <w:bidi w:val="0"/>
        <w:spacing w:line="560" w:lineRule="exact"/>
        <w:ind w:firstLine="642" w:firstLineChars="200"/>
        <w:textAlignment w:val="auto"/>
        <w:rPr>
          <w:color w:val="auto"/>
          <w:highlight w:val="none"/>
        </w:rPr>
      </w:pPr>
      <w:r>
        <w:rPr>
          <w:rFonts w:ascii="Times New Roman" w:hAnsi="Times New Roman" w:eastAsia="仿宋_GB2312" w:cs="Times New Roman"/>
          <w:b/>
          <w:bCs/>
          <w:color w:val="auto"/>
          <w:sz w:val="32"/>
          <w:szCs w:val="32"/>
          <w:highlight w:val="none"/>
        </w:rPr>
        <w:t>张榜范围：</w:t>
      </w:r>
      <w:r>
        <w:rPr>
          <w:rFonts w:hint="eastAsia" w:ascii="仿宋_GB2312" w:eastAsia="仿宋_GB2312" w:cs="仿宋_GB2312"/>
          <w:b w:val="0"/>
          <w:bCs w:val="0"/>
          <w:color w:val="auto"/>
          <w:sz w:val="32"/>
          <w:szCs w:val="32"/>
          <w:highlight w:val="none"/>
        </w:rPr>
        <w:t>面向市内外公开张榜。</w:t>
      </w:r>
    </w:p>
    <w:sectPr>
      <w:footerReference r:id="rId3" w:type="default"/>
      <w:pgSz w:w="11906" w:h="16838"/>
      <w:pgMar w:top="2098" w:right="1474" w:bottom="1474" w:left="158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2010600030101010101"/>
    <w:charset w:val="50"/>
    <w:family w:val="auto"/>
    <w:pitch w:val="default"/>
    <w:sig w:usb0="00000000" w:usb1="0000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Luxi Sans">
    <w:altName w:val="URW Bookman"/>
    <w:panose1 w:val="00000000000000000000"/>
    <w:charset w:val="00"/>
    <w:family w:val="auto"/>
    <w:pitch w:val="default"/>
    <w:sig w:usb0="00000000" w:usb1="00000000" w:usb2="00000000" w:usb3="00000000" w:csb0="00000000" w:csb1="00000000"/>
  </w:font>
  <w:font w:name="Cambria Math">
    <w:altName w:val="DejaVu Math TeX Gyre"/>
    <w:panose1 w:val="02040503050406030204"/>
    <w:charset w:val="00"/>
    <w:family w:val="roman"/>
    <w:pitch w:val="default"/>
    <w:sig w:usb0="00000000" w:usb1="00000000" w:usb2="02000000" w:usb3="00000000" w:csb0="2000019F" w:csb1="00000000"/>
  </w:font>
  <w:font w:name="微软雅黑">
    <w:altName w:val="黑体"/>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A00002BF" w:usb1="38CF7CFA" w:usb2="00082016" w:usb3="00000000" w:csb0="00040001" w:csb1="00000000"/>
  </w:font>
  <w:font w:name="DejaVu Sans">
    <w:panose1 w:val="020B0603030804020204"/>
    <w:charset w:val="00"/>
    <w:family w:val="auto"/>
    <w:pitch w:val="default"/>
    <w:sig w:usb0="E7006EFF" w:usb1="D200FDFF" w:usb2="0A246029" w:usb3="0400200C" w:csb0="600001FF" w:csb1="DFFF0000"/>
  </w:font>
  <w:font w:name="Droid Sans Fallback">
    <w:panose1 w:val="020B0502000000000001"/>
    <w:charset w:val="86"/>
    <w:family w:val="auto"/>
    <w:pitch w:val="default"/>
    <w:sig w:usb0="910002FF" w:usb1="2BDFFCFB" w:usb2="00000036" w:usb3="00000000" w:csb0="203F01FF" w:csb1="D7FF0000"/>
  </w:font>
  <w:font w:name="DejaVu Math TeX Gyre">
    <w:panose1 w:val="02000503000000000000"/>
    <w:charset w:val="00"/>
    <w:family w:val="auto"/>
    <w:pitch w:val="default"/>
    <w:sig w:usb0="A10000EF" w:usb1="4201F9EE" w:usb2="02000000" w:usb3="00000000" w:csb0="60000193" w:csb1="0DD40000"/>
  </w:font>
  <w:font w:name="方正宋体S-超大字符集">
    <w:panose1 w:val="02000000000000000000"/>
    <w:charset w:val="86"/>
    <w:family w:val="auto"/>
    <w:pitch w:val="default"/>
    <w:sig w:usb0="00000001" w:usb1="08000000" w:usb2="00000000" w:usb3="00000000" w:csb0="00040000" w:csb1="00000000"/>
  </w:font>
  <w:font w:name="URW Bookman">
    <w:panose1 w:val="00000400000000000000"/>
    <w:charset w:val="00"/>
    <w:family w:val="auto"/>
    <w:pitch w:val="default"/>
    <w:sig w:usb0="00000287" w:usb1="00000800" w:usb2="00000000" w:usb3="00000000" w:csb0="6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5"/>
  <w:bordersDoNotSurroundHeader w:val="true"/>
  <w:bordersDoNotSurroundFooter w:val="true"/>
  <w:documentProtection w:edit="readOnly"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4"/>
  </w:compat>
  <w:docVars>
    <w:docVar w:name="commondata" w:val="eyJoZGlkIjoiNzFlMThhYzg3ZTU1MWI0ZmM2NGI5YmM5NDNjOGU1YzAifQ=="/>
  </w:docVars>
  <w:rsids>
    <w:rsidRoot w:val="00236D6C"/>
    <w:rsid w:val="00236D6C"/>
    <w:rsid w:val="00474834"/>
    <w:rsid w:val="005B68CB"/>
    <w:rsid w:val="00724406"/>
    <w:rsid w:val="00855048"/>
    <w:rsid w:val="02B87BAD"/>
    <w:rsid w:val="07550729"/>
    <w:rsid w:val="0C5B0590"/>
    <w:rsid w:val="1666025D"/>
    <w:rsid w:val="1696521E"/>
    <w:rsid w:val="176F4F02"/>
    <w:rsid w:val="1AD559B1"/>
    <w:rsid w:val="1B39686C"/>
    <w:rsid w:val="1BB75331"/>
    <w:rsid w:val="1C5823F6"/>
    <w:rsid w:val="208305BE"/>
    <w:rsid w:val="246B24B9"/>
    <w:rsid w:val="269F187C"/>
    <w:rsid w:val="27D7283D"/>
    <w:rsid w:val="2F05640D"/>
    <w:rsid w:val="316C495F"/>
    <w:rsid w:val="35C80195"/>
    <w:rsid w:val="368A544A"/>
    <w:rsid w:val="3AC54CA3"/>
    <w:rsid w:val="3AFF46D1"/>
    <w:rsid w:val="3C5579EF"/>
    <w:rsid w:val="414C3A28"/>
    <w:rsid w:val="41C9151C"/>
    <w:rsid w:val="443C5AF9"/>
    <w:rsid w:val="4A02572A"/>
    <w:rsid w:val="4CDD40CE"/>
    <w:rsid w:val="4D877A22"/>
    <w:rsid w:val="4E2D3B1D"/>
    <w:rsid w:val="5AC80ECC"/>
    <w:rsid w:val="5B27692D"/>
    <w:rsid w:val="5DFB0858"/>
    <w:rsid w:val="5F4F29A0"/>
    <w:rsid w:val="5FF71BCC"/>
    <w:rsid w:val="61B61217"/>
    <w:rsid w:val="620236C3"/>
    <w:rsid w:val="65171E10"/>
    <w:rsid w:val="6953779A"/>
    <w:rsid w:val="6EE52F9F"/>
    <w:rsid w:val="6FA04DBB"/>
    <w:rsid w:val="6FCE10C4"/>
    <w:rsid w:val="6FDFE0D9"/>
    <w:rsid w:val="70252504"/>
    <w:rsid w:val="70932B72"/>
    <w:rsid w:val="74F00593"/>
    <w:rsid w:val="753A59FF"/>
    <w:rsid w:val="796B468C"/>
    <w:rsid w:val="79D51375"/>
    <w:rsid w:val="7B7BD7FF"/>
    <w:rsid w:val="7BFF555D"/>
    <w:rsid w:val="7C6F4493"/>
    <w:rsid w:val="7C7C36C4"/>
    <w:rsid w:val="7D8FBD99"/>
    <w:rsid w:val="7DEB848F"/>
    <w:rsid w:val="7E9BC287"/>
    <w:rsid w:val="7FA26FF2"/>
    <w:rsid w:val="7FE6080A"/>
    <w:rsid w:val="93BE7A6C"/>
    <w:rsid w:val="BB5B6807"/>
    <w:rsid w:val="BDAB00F7"/>
    <w:rsid w:val="CE3F6664"/>
    <w:rsid w:val="DFEFFEC8"/>
    <w:rsid w:val="EF5D30E6"/>
    <w:rsid w:val="FEAE861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Arial"/>
      <w:kern w:val="2"/>
      <w:sz w:val="21"/>
      <w:szCs w:val="24"/>
      <w:lang w:val="en-US" w:eastAsia="zh-CN" w:bidi="ar-SA"/>
    </w:rPr>
  </w:style>
  <w:style w:type="paragraph" w:styleId="3">
    <w:name w:val="heading 1"/>
    <w:basedOn w:val="1"/>
    <w:next w:val="1"/>
    <w:qFormat/>
    <w:uiPriority w:val="0"/>
    <w:pPr>
      <w:keepNext/>
      <w:keepLines/>
      <w:spacing w:line="580" w:lineRule="exact"/>
      <w:ind w:firstLine="200" w:firstLineChars="200"/>
      <w:outlineLvl w:val="0"/>
    </w:pPr>
    <w:rPr>
      <w:rFonts w:eastAsia="仿宋_GB2312"/>
      <w:b/>
      <w:kern w:val="44"/>
      <w:sz w:val="32"/>
    </w:rPr>
  </w:style>
  <w:style w:type="paragraph" w:styleId="4">
    <w:name w:val="heading 2"/>
    <w:basedOn w:val="1"/>
    <w:next w:val="1"/>
    <w:qFormat/>
    <w:uiPriority w:val="0"/>
    <w:pPr>
      <w:keepNext/>
      <w:keepLines/>
      <w:spacing w:before="260" w:after="260" w:line="415" w:lineRule="auto"/>
      <w:outlineLvl w:val="1"/>
    </w:pPr>
    <w:rPr>
      <w:rFonts w:ascii="Luxi Sans" w:hAnsi="Luxi Sans" w:eastAsia="黑体"/>
      <w:b/>
      <w:sz w:val="32"/>
    </w:rPr>
  </w:style>
  <w:style w:type="paragraph" w:styleId="2">
    <w:name w:val="heading 3"/>
    <w:basedOn w:val="1"/>
    <w:next w:val="1"/>
    <w:qFormat/>
    <w:uiPriority w:val="0"/>
    <w:pPr>
      <w:keepNext/>
      <w:keepLines/>
      <w:outlineLvl w:val="2"/>
    </w:pPr>
    <w:rPr>
      <w:rFonts w:ascii="Times New Roman" w:hAnsi="Times New Roman" w:eastAsia="仿宋_GB2312" w:cs="宋体"/>
      <w:b/>
      <w:bCs/>
      <w:sz w:val="32"/>
      <w:szCs w:val="32"/>
    </w:rPr>
  </w:style>
  <w:style w:type="character" w:default="1" w:styleId="9">
    <w:name w:val="Default Paragraph Font"/>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10">
    <w:name w:val="annotation reference"/>
    <w:basedOn w:val="9"/>
    <w:qFormat/>
    <w:uiPriority w:val="0"/>
    <w:rPr>
      <w:sz w:val="21"/>
      <w:szCs w:val="21"/>
    </w:rPr>
  </w:style>
  <w:style w:type="paragraph" w:styleId="11">
    <w:name w:val="List Paragraph"/>
    <w:basedOn w:val="1"/>
    <w:qFormat/>
    <w:uiPriority w:val="0"/>
    <w:pPr>
      <w:ind w:firstLine="200" w:firstLineChars="200"/>
    </w:pPr>
  </w:style>
  <w:style w:type="paragraph" w:customStyle="1" w:styleId="12">
    <w:name w:val="Revision"/>
    <w:hidden/>
    <w:unhideWhenUsed/>
    <w:qFormat/>
    <w:uiPriority w:val="99"/>
    <w:rPr>
      <w:rFonts w:ascii="Calibri" w:hAnsi="Calibri" w:eastAsia="宋体" w:cs="Arial"/>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Pages>
  <Words>1646</Words>
  <Characters>1879</Characters>
  <Lines>41</Lines>
  <Paragraphs>11</Paragraphs>
  <TotalTime>2</TotalTime>
  <ScaleCrop>false</ScaleCrop>
  <LinksUpToDate>false</LinksUpToDate>
  <CharactersWithSpaces>1895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2023-04-12T18:20:00Z</dcterms:created>
  <dc:creator>孤狼</dc:creator>
  <cp:lastModifiedBy>kylin</cp:lastModifiedBy>
  <cp:lastPrinted>2025-10-22T19:16:00Z</cp:lastPrinted>
  <dcterms:modified xsi:type="dcterms:W3CDTF">2025-10-27T14:49:28Z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0E8AF6719DBF423DAE703BE5F0564A93_13</vt:lpwstr>
  </property>
  <property fmtid="{D5CDD505-2E9C-101B-9397-08002B2CF9AE}" pid="4" name="KSOTemplateDocerSaveRecord">
    <vt:lpwstr>eyJoZGlkIjoiYzZlNzY0ZTM2YTlmNWNlMTEwMGJiYTRkMmQ1NTY5NDIiLCJ1c2VySWQiOiIxMjkyNzQwMjc5In0=</vt:lpwstr>
  </property>
</Properties>
</file>