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560" w:lineRule="exact"/>
        <w:ind w:left="0" w:leftChars="0" w:firstLine="0" w:firstLineChars="0"/>
        <w:jc w:val="center"/>
        <w:rPr>
          <w:rFonts w:hint="eastAsia" w:ascii="黑体" w:hAnsi="黑体" w:eastAsia="黑体" w:cs="黑体"/>
          <w:b w:val="0"/>
          <w:bCs/>
          <w:color w:val="auto"/>
          <w:sz w:val="36"/>
          <w:szCs w:val="36"/>
        </w:rPr>
      </w:pPr>
      <w:r>
        <w:rPr>
          <w:rFonts w:hint="eastAsia" w:ascii="黑体" w:hAnsi="黑体" w:eastAsia="黑体" w:cs="黑体"/>
          <w:b w:val="0"/>
          <w:bCs/>
          <w:color w:val="auto"/>
          <w:sz w:val="36"/>
          <w:szCs w:val="36"/>
          <w:lang w:eastAsia="zh-CN"/>
        </w:rPr>
        <w:t>指</w:t>
      </w:r>
      <w:bookmarkStart w:id="3" w:name="_GoBack"/>
      <w:bookmarkEnd w:id="3"/>
      <w:r>
        <w:rPr>
          <w:rFonts w:hint="eastAsia" w:ascii="黑体" w:hAnsi="黑体" w:eastAsia="黑体" w:cs="黑体"/>
          <w:b w:val="0"/>
          <w:bCs/>
          <w:color w:val="auto"/>
          <w:sz w:val="36"/>
          <w:szCs w:val="36"/>
          <w:lang w:eastAsia="zh-CN"/>
        </w:rPr>
        <w:t>南</w:t>
      </w:r>
      <w:r>
        <w:rPr>
          <w:rFonts w:hint="eastAsia" w:ascii="黑体" w:hAnsi="黑体" w:eastAsia="黑体" w:cs="黑体"/>
          <w:b w:val="0"/>
          <w:bCs/>
          <w:color w:val="auto"/>
          <w:sz w:val="36"/>
          <w:szCs w:val="36"/>
          <w:lang w:val="en-US" w:eastAsia="zh-CN"/>
        </w:rPr>
        <w:t>5：</w:t>
      </w:r>
      <w:r>
        <w:rPr>
          <w:rFonts w:hint="eastAsia" w:ascii="黑体" w:hAnsi="黑体" w:eastAsia="黑体" w:cs="黑体"/>
          <w:b w:val="0"/>
          <w:bCs/>
          <w:color w:val="auto"/>
          <w:sz w:val="36"/>
          <w:szCs w:val="36"/>
        </w:rPr>
        <w:t>先进液晶显示器用PI配向液开发与产业化</w:t>
      </w:r>
    </w:p>
    <w:p>
      <w:pPr>
        <w:spacing w:line="560" w:lineRule="exact"/>
        <w:ind w:firstLine="640" w:firstLineChars="200"/>
        <w:rPr>
          <w:rFonts w:ascii="仿宋_GB2312" w:eastAsia="仿宋_GB2312" w:cs="仿宋_GB2312"/>
          <w:color w:val="auto"/>
          <w:sz w:val="32"/>
          <w:szCs w:val="32"/>
        </w:rPr>
      </w:pPr>
    </w:p>
    <w:p>
      <w:pPr>
        <w:spacing w:line="560" w:lineRule="exact"/>
        <w:ind w:firstLine="642" w:firstLineChars="200"/>
        <w:rPr>
          <w:rFonts w:ascii="Times New Roman" w:hAnsi="Times New Roman" w:eastAsia="仿宋_GB2312" w:cs="Times New Roman"/>
          <w:color w:val="auto"/>
          <w:sz w:val="32"/>
          <w:szCs w:val="32"/>
        </w:rPr>
      </w:pPr>
      <w:r>
        <w:rPr>
          <w:rFonts w:ascii="Times New Roman" w:hAnsi="Times New Roman" w:eastAsia="仿宋_GB2312" w:cs="Times New Roman"/>
          <w:b/>
          <w:bCs/>
          <w:color w:val="auto"/>
          <w:sz w:val="32"/>
          <w:szCs w:val="32"/>
        </w:rPr>
        <w:t>研究内容：</w:t>
      </w:r>
      <w:r>
        <w:rPr>
          <w:rFonts w:hint="eastAsia" w:ascii="Times New Roman" w:hAnsi="Times New Roman" w:eastAsia="仿宋_GB2312" w:cs="Times New Roman"/>
          <w:b w:val="0"/>
          <w:bCs w:val="0"/>
          <w:color w:val="auto"/>
          <w:sz w:val="32"/>
          <w:szCs w:val="32"/>
          <w:lang w:eastAsia="zh-CN"/>
        </w:rPr>
        <w:t>针对PI配向液国产化率低、国外厂商垄断的问题，</w:t>
      </w:r>
      <w:r>
        <w:rPr>
          <w:rFonts w:hint="eastAsia" w:ascii="Times New Roman" w:hAnsi="Times New Roman" w:eastAsia="仿宋_GB2312" w:cs="Times New Roman"/>
          <w:color w:val="auto"/>
          <w:sz w:val="32"/>
          <w:szCs w:val="32"/>
        </w:rPr>
        <w:t>突破光配型PI树脂合成、配向膜涂布成型等关键技术，研发适用于4K/8K超</w:t>
      </w:r>
      <w:r>
        <w:rPr>
          <w:rFonts w:hint="eastAsia" w:ascii="Times New Roman" w:hAnsi="Times New Roman" w:eastAsia="仿宋_GB2312" w:cs="Times New Roman"/>
          <w:color w:val="auto"/>
          <w:sz w:val="32"/>
          <w:szCs w:val="32"/>
        </w:rPr>
        <w:t>高分辨率显示的光取向PI液，实现高性能材料的国产化制备与全世代产线应用。针对高端LCD对取向性能的需求，设计含特定侧链（如肉桂酸酯基、氟代基团）的PI树脂结构，优化二酐与二胺单体配比，突破高纯度树脂合成工艺；研究树脂浓度、溶剂体系（醇醚类/酰胺类复合溶剂）、添加剂（流平剂、消泡剂）对配向液涂布性、取向性能的影响，开发低VOC、高稳定性配方</w:t>
      </w:r>
      <w:r>
        <w:rPr>
          <w:rFonts w:ascii="Times New Roman" w:hAnsi="Times New Roman" w:eastAsia="仿宋_GB2312" w:cs="Times New Roman"/>
          <w:color w:val="auto"/>
          <w:sz w:val="32"/>
          <w:szCs w:val="32"/>
        </w:rPr>
        <w:t>；</w:t>
      </w:r>
      <w:r>
        <w:rPr>
          <w:rFonts w:hint="eastAsia" w:ascii="Times New Roman" w:hAnsi="Times New Roman" w:eastAsia="仿宋_GB2312" w:cs="Times New Roman"/>
          <w:color w:val="auto"/>
          <w:sz w:val="32"/>
          <w:szCs w:val="32"/>
        </w:rPr>
        <w:t>开发树脂合成-配液-过滤-灌装全连续生产工艺，优化反应温度、搅拌速率、过滤精度等参数，解决批次稳定性问题</w:t>
      </w:r>
      <w:r>
        <w:rPr>
          <w:rFonts w:hint="eastAsia" w:ascii="Times New Roman" w:hAnsi="Times New Roman" w:eastAsia="仿宋_GB2312" w:cs="Times New Roman"/>
          <w:color w:val="auto"/>
          <w:sz w:val="32"/>
          <w:szCs w:val="32"/>
        </w:rPr>
        <w:t>；</w:t>
      </w:r>
      <w:r>
        <w:rPr>
          <w:rFonts w:hint="eastAsia" w:ascii="Times New Roman" w:hAnsi="Times New Roman" w:eastAsia="仿宋_GB2312" w:cs="Times New Roman"/>
          <w:color w:val="auto"/>
          <w:sz w:val="32"/>
          <w:szCs w:val="32"/>
        </w:rPr>
        <w:t>开展配向液与摩擦工艺、液晶灌注工艺的适配性研究，优化烘烤温度、摩擦强度等关键参数。</w:t>
      </w:r>
    </w:p>
    <w:p>
      <w:pPr>
        <w:spacing w:line="560" w:lineRule="exact"/>
        <w:ind w:firstLine="642" w:firstLineChars="200"/>
        <w:rPr>
          <w:rFonts w:ascii="Times New Roman" w:hAnsi="Times New Roman" w:eastAsia="仿宋_GB2312" w:cs="Times New Roman"/>
          <w:b/>
          <w:bCs/>
          <w:color w:val="auto"/>
          <w:sz w:val="32"/>
          <w:szCs w:val="32"/>
        </w:rPr>
      </w:pPr>
      <w:r>
        <w:rPr>
          <w:rFonts w:ascii="Times New Roman" w:hAnsi="Times New Roman" w:eastAsia="仿宋_GB2312" w:cs="Times New Roman"/>
          <w:b/>
          <w:bCs/>
          <w:color w:val="auto"/>
          <w:sz w:val="32"/>
          <w:szCs w:val="32"/>
        </w:rPr>
        <w:t>考核指标：</w:t>
      </w:r>
    </w:p>
    <w:p>
      <w:pPr>
        <w:adjustRightInd w:val="0"/>
        <w:snapToGrid w:val="0"/>
        <w:spacing w:line="560" w:lineRule="exact"/>
        <w:ind w:firstLine="642" w:firstLineChars="200"/>
        <w:rPr>
          <w:rFonts w:ascii="Times New Roman" w:hAnsi="Times New Roman" w:eastAsia="仿宋_GB2312" w:cs="Times New Roman"/>
          <w:color w:val="auto"/>
          <w:sz w:val="32"/>
          <w:szCs w:val="32"/>
        </w:rPr>
      </w:pPr>
      <w:r>
        <w:rPr>
          <w:rFonts w:ascii="Times New Roman" w:hAnsi="Times New Roman" w:eastAsia="仿宋_GB2312" w:cs="Times New Roman"/>
          <w:b/>
          <w:bCs/>
          <w:color w:val="auto"/>
          <w:sz w:val="32"/>
          <w:szCs w:val="32"/>
        </w:rPr>
        <w:t>（一）</w:t>
      </w:r>
      <w:r>
        <w:rPr>
          <w:rFonts w:hint="eastAsia" w:ascii="Times New Roman" w:hAnsi="Times New Roman" w:eastAsia="仿宋_GB2312" w:cs="Times New Roman"/>
          <w:b/>
          <w:bCs/>
          <w:color w:val="auto"/>
          <w:sz w:val="32"/>
          <w:szCs w:val="32"/>
        </w:rPr>
        <w:t>项目</w:t>
      </w:r>
      <w:r>
        <w:rPr>
          <w:rFonts w:ascii="Times New Roman" w:hAnsi="Times New Roman" w:eastAsia="仿宋_GB2312" w:cs="Times New Roman"/>
          <w:b/>
          <w:bCs/>
          <w:color w:val="auto"/>
          <w:sz w:val="32"/>
          <w:szCs w:val="32"/>
        </w:rPr>
        <w:t>验收指标：</w:t>
      </w:r>
    </w:p>
    <w:p>
      <w:pPr>
        <w:pStyle w:val="10"/>
        <w:spacing w:line="560" w:lineRule="exact"/>
        <w:ind w:firstLine="643"/>
        <w:rPr>
          <w:rFonts w:ascii="Times New Roman" w:hAnsi="Times New Roman" w:eastAsia="仿宋_GB2312" w:cs="Times New Roman"/>
          <w:color w:val="auto"/>
          <w:sz w:val="32"/>
          <w:szCs w:val="32"/>
        </w:rPr>
      </w:pPr>
      <w:r>
        <w:rPr>
          <w:rFonts w:hint="eastAsia" w:ascii="Times New Roman" w:hAnsi="Times New Roman" w:eastAsia="仿宋_GB2312" w:cs="Times New Roman"/>
          <w:color w:val="auto"/>
          <w:sz w:val="32"/>
          <w:szCs w:val="32"/>
        </w:rPr>
        <w:t>VHR≥98%（60℃，1V，0.6Hz），RDC＜20mV，预倾角偏差±0.2°；产品</w:t>
      </w:r>
      <w:r>
        <w:rPr>
          <w:rFonts w:hint="eastAsia" w:ascii="Times New Roman" w:hAnsi="Times New Roman" w:eastAsia="仿宋_GB2312" w:cs="Times New Roman"/>
          <w:color w:val="auto"/>
          <w:sz w:val="32"/>
          <w:szCs w:val="32"/>
        </w:rPr>
        <w:t>固含量</w:t>
      </w:r>
      <w:r>
        <w:rPr>
          <w:rFonts w:hint="eastAsia" w:ascii="Times New Roman" w:hAnsi="Times New Roman" w:eastAsia="仿宋_GB2312" w:cs="Times New Roman"/>
          <w:color w:val="auto"/>
          <w:sz w:val="32"/>
          <w:szCs w:val="32"/>
        </w:rPr>
        <w:t>、粘度、外观等性状储存期内无变化；完成lab阶段、G4.5产线及以上的产线验证；</w:t>
      </w:r>
      <w:r>
        <w:rPr>
          <w:rFonts w:hint="eastAsia" w:ascii="Times New Roman" w:hAnsi="Times New Roman" w:eastAsia="仿宋_GB2312" w:cs="Times New Roman"/>
          <w:color w:val="auto"/>
          <w:sz w:val="32"/>
          <w:szCs w:val="32"/>
        </w:rPr>
        <w:t>年产100吨PI配向液产线1条</w:t>
      </w:r>
      <w:r>
        <w:rPr>
          <w:rFonts w:hint="eastAsia" w:ascii="Times New Roman" w:hAnsi="Times New Roman" w:eastAsia="仿宋_GB2312" w:cs="Times New Roman"/>
          <w:color w:val="auto"/>
          <w:sz w:val="32"/>
          <w:szCs w:val="32"/>
        </w:rPr>
        <w:t>，申请专利5项以上。</w:t>
      </w:r>
    </w:p>
    <w:p>
      <w:pPr>
        <w:pStyle w:val="10"/>
        <w:spacing w:line="560" w:lineRule="exact"/>
        <w:ind w:firstLine="643"/>
        <w:rPr>
          <w:rFonts w:ascii="Times New Roman" w:hAnsi="Times New Roman" w:eastAsia="仿宋_GB2312" w:cs="Times New Roman"/>
          <w:b/>
          <w:bCs/>
          <w:color w:val="auto"/>
          <w:sz w:val="32"/>
          <w:szCs w:val="32"/>
        </w:rPr>
      </w:pPr>
      <w:r>
        <w:rPr>
          <w:rFonts w:ascii="Times New Roman" w:hAnsi="Times New Roman" w:eastAsia="仿宋_GB2312" w:cs="Times New Roman"/>
          <w:b/>
          <w:bCs/>
          <w:color w:val="auto"/>
          <w:sz w:val="32"/>
          <w:szCs w:val="32"/>
        </w:rPr>
        <w:t>（二）</w:t>
      </w:r>
      <w:r>
        <w:rPr>
          <w:rFonts w:hint="eastAsia" w:ascii="Times New Roman" w:hAnsi="Times New Roman" w:eastAsia="仿宋_GB2312" w:cs="Times New Roman"/>
          <w:b/>
          <w:bCs/>
          <w:color w:val="auto"/>
          <w:sz w:val="32"/>
          <w:szCs w:val="32"/>
        </w:rPr>
        <w:t>绩效</w:t>
      </w:r>
      <w:r>
        <w:rPr>
          <w:rFonts w:ascii="Times New Roman" w:hAnsi="Times New Roman" w:eastAsia="仿宋_GB2312" w:cs="Times New Roman"/>
          <w:b/>
          <w:bCs/>
          <w:color w:val="auto"/>
          <w:sz w:val="32"/>
          <w:szCs w:val="32"/>
        </w:rPr>
        <w:t>评价指标：</w:t>
      </w:r>
    </w:p>
    <w:p>
      <w:pPr>
        <w:pStyle w:val="10"/>
        <w:spacing w:line="560" w:lineRule="exact"/>
        <w:ind w:firstLine="640"/>
        <w:rPr>
          <w:rFonts w:ascii="Times New Roman" w:hAnsi="Times New Roman" w:eastAsia="仿宋_GB2312" w:cs="Times New Roman"/>
          <w:b/>
          <w:bCs/>
          <w:color w:val="auto"/>
          <w:sz w:val="32"/>
          <w:szCs w:val="32"/>
        </w:rPr>
      </w:pPr>
      <w:r>
        <w:rPr>
          <w:rFonts w:hint="eastAsia" w:ascii="Times New Roman" w:hAnsi="Times New Roman" w:eastAsia="仿宋_GB2312" w:cs="Times New Roman"/>
          <w:color w:val="auto"/>
          <w:sz w:val="32"/>
          <w:szCs w:val="32"/>
        </w:rPr>
        <w:t>三年累计销售收入超</w:t>
      </w:r>
      <w:r>
        <w:rPr>
          <w:rFonts w:hint="eastAsia" w:ascii="Times New Roman" w:hAnsi="Times New Roman" w:eastAsia="仿宋_GB2312" w:cs="Times New Roman"/>
          <w:color w:val="auto"/>
          <w:sz w:val="32"/>
          <w:szCs w:val="32"/>
        </w:rPr>
        <w:t>5亿元</w:t>
      </w:r>
      <w:r>
        <w:rPr>
          <w:rFonts w:hint="eastAsia" w:ascii="Times New Roman" w:hAnsi="Times New Roman" w:eastAsia="仿宋_GB2312" w:cs="Times New Roman"/>
          <w:color w:val="auto"/>
          <w:sz w:val="32"/>
          <w:szCs w:val="32"/>
        </w:rPr>
        <w:t>；打破国外垄断，</w:t>
      </w:r>
      <w:bookmarkStart w:id="0" w:name="_Hlk210985399"/>
      <w:r>
        <w:rPr>
          <w:rFonts w:hint="eastAsia" w:ascii="Times New Roman" w:hAnsi="Times New Roman" w:eastAsia="仿宋_GB2312" w:cs="Times New Roman"/>
          <w:color w:val="auto"/>
          <w:sz w:val="32"/>
          <w:szCs w:val="32"/>
        </w:rPr>
        <w:t>实现国产化率从10%提升至30%</w:t>
      </w:r>
      <w:bookmarkEnd w:id="0"/>
      <w:r>
        <w:rPr>
          <w:rFonts w:hint="eastAsia" w:ascii="Times New Roman" w:hAnsi="Times New Roman" w:eastAsia="仿宋_GB2312" w:cs="Times New Roman"/>
          <w:color w:val="auto"/>
          <w:sz w:val="32"/>
          <w:szCs w:val="32"/>
        </w:rPr>
        <w:t>；带动就业50人，利税超</w:t>
      </w:r>
      <w:r>
        <w:rPr>
          <w:rFonts w:hint="eastAsia" w:ascii="Times New Roman" w:hAnsi="Times New Roman" w:eastAsia="仿宋_GB2312" w:cs="Times New Roman"/>
          <w:color w:val="auto"/>
          <w:sz w:val="32"/>
          <w:szCs w:val="32"/>
        </w:rPr>
        <w:t>1亿元</w:t>
      </w:r>
      <w:r>
        <w:rPr>
          <w:rFonts w:hint="eastAsia" w:ascii="Times New Roman" w:hAnsi="Times New Roman" w:eastAsia="仿宋_GB2312" w:cs="Times New Roman"/>
          <w:color w:val="auto"/>
          <w:sz w:val="32"/>
          <w:szCs w:val="32"/>
        </w:rPr>
        <w:t>。</w:t>
      </w:r>
    </w:p>
    <w:p>
      <w:pPr>
        <w:spacing w:line="560" w:lineRule="exact"/>
        <w:ind w:firstLine="642" w:firstLineChars="200"/>
        <w:rPr>
          <w:rFonts w:ascii="Times New Roman" w:hAnsi="Times New Roman" w:eastAsia="仿宋_GB2312" w:cs="Times New Roman"/>
          <w:bCs/>
          <w:color w:val="auto"/>
          <w:sz w:val="32"/>
          <w:szCs w:val="32"/>
          <w:highlight w:val="none"/>
        </w:rPr>
      </w:pPr>
      <w:r>
        <w:rPr>
          <w:rFonts w:ascii="Times New Roman" w:hAnsi="Times New Roman" w:eastAsia="仿宋_GB2312" w:cs="Times New Roman"/>
          <w:b/>
          <w:bCs/>
          <w:color w:val="auto"/>
          <w:sz w:val="32"/>
          <w:szCs w:val="32"/>
          <w:highlight w:val="none"/>
        </w:rPr>
        <w:t>申报条件：</w:t>
      </w:r>
      <w:r>
        <w:rPr>
          <w:rFonts w:hint="eastAsia" w:ascii="仿宋_GB2312" w:eastAsia="仿宋_GB2312" w:cs="仿宋_GB2312"/>
          <w:b w:val="0"/>
          <w:bCs w:val="0"/>
          <w:color w:val="auto"/>
          <w:sz w:val="32"/>
          <w:szCs w:val="32"/>
          <w:highlight w:val="none"/>
        </w:rPr>
        <w:t>市内独立法人企业牵头联合市内外优势科研力量组建创新联合体申报，牵头企业研发占比不低于</w:t>
      </w:r>
      <w:r>
        <w:rPr>
          <w:rFonts w:ascii="Times New Roman" w:hAnsi="Times New Roman" w:eastAsia="仿宋_GB2312" w:cs="Times New Roman"/>
          <w:color w:val="auto"/>
          <w:sz w:val="32"/>
          <w:szCs w:val="32"/>
          <w:highlight w:val="none"/>
        </w:rPr>
        <w:t>3%</w:t>
      </w:r>
      <w:r>
        <w:rPr>
          <w:rFonts w:hint="eastAsia" w:ascii="Times New Roman" w:hAnsi="Times New Roman" w:eastAsia="仿宋_GB2312" w:cs="Times New Roman"/>
          <w:color w:val="auto"/>
          <w:sz w:val="32"/>
          <w:szCs w:val="32"/>
          <w:highlight w:val="none"/>
          <w:lang w:eastAsia="zh-CN"/>
        </w:rPr>
        <w:t>；总投资不低于</w:t>
      </w:r>
      <w:r>
        <w:rPr>
          <w:rFonts w:hint="eastAsia" w:ascii="Times New Roman" w:hAnsi="Times New Roman" w:eastAsia="仿宋_GB2312" w:cs="Times New Roman"/>
          <w:color w:val="auto"/>
          <w:sz w:val="32"/>
          <w:szCs w:val="32"/>
          <w:highlight w:val="none"/>
          <w:lang w:val="en-US" w:eastAsia="zh-CN"/>
        </w:rPr>
        <w:t>1700万元</w:t>
      </w:r>
      <w:r>
        <w:rPr>
          <w:rFonts w:ascii="Times New Roman" w:hAnsi="Times New Roman" w:eastAsia="仿宋_GB2312" w:cs="Times New Roman"/>
          <w:color w:val="auto"/>
          <w:sz w:val="32"/>
          <w:szCs w:val="32"/>
          <w:highlight w:val="none"/>
        </w:rPr>
        <w:t>。</w:t>
      </w:r>
    </w:p>
    <w:p>
      <w:pPr>
        <w:spacing w:line="560" w:lineRule="exact"/>
        <w:ind w:firstLine="642" w:firstLineChars="200"/>
        <w:rPr>
          <w:rFonts w:ascii="Times New Roman" w:hAnsi="Times New Roman" w:eastAsia="仿宋_GB2312" w:cs="Times New Roman"/>
          <w:color w:val="auto"/>
          <w:sz w:val="32"/>
          <w:szCs w:val="32"/>
        </w:rPr>
      </w:pPr>
      <w:r>
        <w:rPr>
          <w:rFonts w:ascii="Times New Roman" w:hAnsi="Times New Roman" w:eastAsia="仿宋_GB2312" w:cs="Times New Roman"/>
          <w:b/>
          <w:bCs/>
          <w:color w:val="auto"/>
          <w:sz w:val="32"/>
          <w:szCs w:val="32"/>
        </w:rPr>
        <w:t>技术成熟度：</w:t>
      </w:r>
      <w:r>
        <w:rPr>
          <w:rFonts w:ascii="Times New Roman" w:hAnsi="Times New Roman" w:eastAsia="仿宋_GB2312" w:cs="Times New Roman"/>
          <w:color w:val="auto"/>
          <w:sz w:val="32"/>
          <w:szCs w:val="32"/>
        </w:rPr>
        <w:t>当前等级不低于</w:t>
      </w:r>
      <w:r>
        <w:rPr>
          <w:rFonts w:hint="eastAsia" w:ascii="Times New Roman" w:hAnsi="Times New Roman" w:eastAsia="仿宋_GB2312" w:cs="Times New Roman"/>
          <w:color w:val="auto"/>
          <w:sz w:val="32"/>
          <w:szCs w:val="32"/>
        </w:rPr>
        <w:t>6</w:t>
      </w:r>
      <w:r>
        <w:rPr>
          <w:rFonts w:ascii="Times New Roman" w:hAnsi="Times New Roman" w:eastAsia="仿宋_GB2312" w:cs="Times New Roman"/>
          <w:color w:val="auto"/>
          <w:sz w:val="32"/>
          <w:szCs w:val="32"/>
        </w:rPr>
        <w:t>级，完成后不低于</w:t>
      </w:r>
      <w:r>
        <w:rPr>
          <w:rFonts w:hint="eastAsia" w:ascii="Times New Roman" w:hAnsi="Times New Roman" w:eastAsia="仿宋_GB2312" w:cs="Times New Roman"/>
          <w:color w:val="auto"/>
          <w:sz w:val="32"/>
          <w:szCs w:val="32"/>
        </w:rPr>
        <w:t>10</w:t>
      </w:r>
      <w:r>
        <w:rPr>
          <w:rFonts w:ascii="Times New Roman" w:hAnsi="Times New Roman" w:eastAsia="仿宋_GB2312" w:cs="Times New Roman"/>
          <w:color w:val="auto"/>
          <w:sz w:val="32"/>
          <w:szCs w:val="32"/>
        </w:rPr>
        <w:t>级。</w:t>
      </w:r>
    </w:p>
    <w:p>
      <w:pPr>
        <w:spacing w:line="540" w:lineRule="exact"/>
        <w:ind w:firstLine="641"/>
        <w:rPr>
          <w:rFonts w:hint="eastAsia" w:ascii="仿宋_GB2312" w:eastAsia="仿宋_GB2312" w:cs="仿宋_GB2312"/>
          <w:color w:val="auto"/>
          <w:sz w:val="32"/>
          <w:szCs w:val="32"/>
          <w:lang w:eastAsia="zh-CN"/>
        </w:rPr>
      </w:pPr>
      <w:r>
        <w:rPr>
          <w:rFonts w:ascii="Times New Roman" w:hAnsi="Times New Roman" w:eastAsia="仿宋_GB2312" w:cs="Times New Roman"/>
          <w:b/>
          <w:bCs/>
          <w:color w:val="auto"/>
          <w:sz w:val="32"/>
          <w:szCs w:val="32"/>
        </w:rPr>
        <w:t>项目交示件：</w:t>
      </w:r>
      <w:r>
        <w:rPr>
          <w:rFonts w:hint="eastAsia" w:ascii="仿宋_GB2312" w:eastAsia="仿宋_GB2312" w:cs="仿宋_GB2312"/>
          <w:color w:val="auto"/>
          <w:sz w:val="32"/>
          <w:szCs w:val="32"/>
        </w:rPr>
        <w:t>光取向PI配向液产品样品</w:t>
      </w:r>
      <w:r>
        <w:rPr>
          <w:rFonts w:hint="eastAsia" w:ascii="仿宋_GB2312" w:eastAsia="仿宋_GB2312" w:cs="仿宋_GB2312"/>
          <w:color w:val="auto"/>
          <w:sz w:val="32"/>
          <w:szCs w:val="32"/>
          <w:lang w:eastAsia="zh-CN"/>
        </w:rPr>
        <w:t>；</w:t>
      </w:r>
      <w:bookmarkStart w:id="1" w:name="OLE_LINK14"/>
      <w:r>
        <w:rPr>
          <w:rFonts w:hint="eastAsia" w:ascii="仿宋_GB2312" w:eastAsia="仿宋_GB2312" w:cs="仿宋_GB2312"/>
          <w:color w:val="auto"/>
          <w:sz w:val="32"/>
          <w:szCs w:val="32"/>
        </w:rPr>
        <w:t>PI配向液性能检测平台</w:t>
      </w:r>
      <w:r>
        <w:rPr>
          <w:rFonts w:hint="eastAsia" w:ascii="仿宋_GB2312" w:eastAsia="仿宋_GB2312" w:cs="仿宋_GB2312"/>
          <w:color w:val="auto"/>
          <w:sz w:val="32"/>
          <w:szCs w:val="32"/>
          <w:lang w:eastAsia="zh-CN"/>
        </w:rPr>
        <w:t>；</w:t>
      </w:r>
      <w:bookmarkEnd w:id="1"/>
      <w:r>
        <w:rPr>
          <w:rFonts w:hint="eastAsia" w:ascii="仿宋_GB2312" w:eastAsia="仿宋_GB2312" w:cs="仿宋_GB2312"/>
          <w:color w:val="auto"/>
          <w:sz w:val="32"/>
          <w:szCs w:val="32"/>
        </w:rPr>
        <w:t>PI配向液工艺验证平台</w:t>
      </w:r>
      <w:r>
        <w:rPr>
          <w:rFonts w:hint="eastAsia" w:ascii="仿宋_GB2312" w:eastAsia="仿宋_GB2312" w:cs="仿宋_GB2312"/>
          <w:color w:val="auto"/>
          <w:sz w:val="32"/>
          <w:szCs w:val="32"/>
          <w:lang w:eastAsia="zh-CN"/>
        </w:rPr>
        <w:t>；</w:t>
      </w:r>
      <w:r>
        <w:rPr>
          <w:rFonts w:hint="eastAsia" w:ascii="仿宋_GB2312" w:eastAsia="仿宋_GB2312" w:cs="仿宋_GB2312"/>
          <w:color w:val="auto"/>
          <w:sz w:val="32"/>
          <w:szCs w:val="32"/>
        </w:rPr>
        <w:t>客户试样验证报告</w:t>
      </w:r>
      <w:r>
        <w:rPr>
          <w:rFonts w:hint="eastAsia" w:ascii="仿宋_GB2312" w:eastAsia="仿宋_GB2312" w:cs="仿宋_GB2312"/>
          <w:color w:val="auto"/>
          <w:sz w:val="32"/>
          <w:szCs w:val="32"/>
          <w:lang w:eastAsia="zh-CN"/>
        </w:rPr>
        <w:t>；</w:t>
      </w:r>
      <w:bookmarkStart w:id="2" w:name="OLE_LINK16"/>
      <w:r>
        <w:rPr>
          <w:rFonts w:hint="eastAsia" w:ascii="仿宋_GB2312" w:eastAsia="仿宋_GB2312" w:cs="仿宋_GB2312"/>
          <w:color w:val="auto"/>
          <w:sz w:val="32"/>
          <w:szCs w:val="32"/>
        </w:rPr>
        <w:t>产业化生产线1条</w:t>
      </w:r>
      <w:r>
        <w:rPr>
          <w:rFonts w:hint="eastAsia" w:asci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产业化落地需在滨州市企业。</w:t>
      </w:r>
    </w:p>
    <w:bookmarkEnd w:id="2"/>
    <w:p>
      <w:pPr>
        <w:spacing w:line="560" w:lineRule="exact"/>
        <w:ind w:firstLine="642" w:firstLineChars="200"/>
        <w:rPr>
          <w:rFonts w:ascii="Times New Roman" w:hAnsi="Times New Roman" w:eastAsia="仿宋_GB2312" w:cs="Times New Roman"/>
          <w:color w:val="auto"/>
          <w:sz w:val="32"/>
          <w:szCs w:val="32"/>
        </w:rPr>
      </w:pPr>
      <w:r>
        <w:rPr>
          <w:rFonts w:ascii="Times New Roman" w:hAnsi="Times New Roman" w:eastAsia="仿宋_GB2312" w:cs="Times New Roman"/>
          <w:b/>
          <w:bCs/>
          <w:color w:val="auto"/>
          <w:sz w:val="32"/>
          <w:szCs w:val="32"/>
        </w:rPr>
        <w:t>张榜范围：</w:t>
      </w:r>
      <w:r>
        <w:rPr>
          <w:rFonts w:ascii="Times New Roman" w:hAnsi="Times New Roman" w:eastAsia="仿宋_GB2312" w:cs="Times New Roman"/>
          <w:color w:val="auto"/>
          <w:sz w:val="32"/>
          <w:szCs w:val="32"/>
        </w:rPr>
        <w:t>面向市内外公开张榜</w:t>
      </w:r>
    </w:p>
    <w:p>
      <w:pPr>
        <w:spacing w:line="560" w:lineRule="exact"/>
        <w:ind w:firstLine="642" w:firstLineChars="200"/>
        <w:rPr>
          <w:rFonts w:ascii="Times New Roman" w:hAnsi="Times New Roman" w:eastAsia="仿宋_GB2312" w:cs="Times New Roman"/>
          <w:b/>
          <w:bCs/>
          <w:color w:val="auto"/>
          <w:sz w:val="32"/>
          <w:szCs w:val="32"/>
        </w:rPr>
      </w:pPr>
    </w:p>
    <w:p>
      <w:pPr>
        <w:spacing w:line="560" w:lineRule="exact"/>
        <w:ind w:firstLine="642" w:firstLineChars="200"/>
        <w:rPr>
          <w:rFonts w:ascii="Times New Roman" w:hAnsi="Times New Roman" w:eastAsia="仿宋_GB2312" w:cs="Times New Roman"/>
          <w:b/>
          <w:bCs/>
          <w:color w:val="auto"/>
          <w:sz w:val="32"/>
          <w:szCs w:val="32"/>
        </w:rPr>
      </w:pPr>
    </w:p>
    <w:sectPr>
      <w:footerReference r:id="rId3" w:type="default"/>
      <w:pgSz w:w="11906" w:h="16838"/>
      <w:pgMar w:top="2098" w:right="1474" w:bottom="1474" w:left="1587"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2010600030101010101"/>
    <w:charset w:val="50"/>
    <w:family w:val="auto"/>
    <w:pitch w:val="default"/>
    <w:sig w:usb0="00000000" w:usb1="00000000" w:usb2="00000006" w:usb3="00000000" w:csb0="00040001"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Luxi Sans">
    <w:altName w:val="URW Bookman"/>
    <w:panose1 w:val="00000000000000000000"/>
    <w:charset w:val="00"/>
    <w:family w:val="auto"/>
    <w:pitch w:val="default"/>
    <w:sig w:usb0="00000000" w:usb1="00000000" w:usb2="00000000" w:usb3="00000000" w:csb0="00000000" w:csb1="00000000"/>
  </w:font>
  <w:font w:name="方正书宋_GBK">
    <w:panose1 w:val="02000000000000000000"/>
    <w:charset w:val="86"/>
    <w:family w:val="auto"/>
    <w:pitch w:val="default"/>
    <w:sig w:usb0="A00002BF" w:usb1="38CF7CFA" w:usb2="00082016" w:usb3="00000000" w:csb0="00040001" w:csb1="00000000"/>
  </w:font>
  <w:font w:name="DejaVu Sans">
    <w:panose1 w:val="020B0603030804020204"/>
    <w:charset w:val="00"/>
    <w:family w:val="auto"/>
    <w:pitch w:val="default"/>
    <w:sig w:usb0="E7006EFF" w:usb1="D200FDFF" w:usb2="0A246029" w:usb3="0400200C" w:csb0="600001FF" w:csb1="DFFF0000"/>
  </w:font>
  <w:font w:name="URW Bookman">
    <w:panose1 w:val="00000400000000000000"/>
    <w:charset w:val="00"/>
    <w:family w:val="auto"/>
    <w:pitch w:val="default"/>
    <w:sig w:usb0="00000287" w:usb1="00000800" w:usb2="00000000" w:usb3="00000000" w:csb0="6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6"/>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5"/>
  <w:bordersDoNotSurroundHeader w:val="true"/>
  <w:bordersDoNotSurroundFooter w:val="true"/>
  <w:documentProtection w:edit="readOnly"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E4MWNlMDAwODMxNTg1NmZkMWE0NmFlMTdjZGYxOTYifQ=="/>
  </w:docVars>
  <w:rsids>
    <w:rsidRoot w:val="00462936"/>
    <w:rsid w:val="000E2A56"/>
    <w:rsid w:val="001A42E8"/>
    <w:rsid w:val="0026084F"/>
    <w:rsid w:val="00314342"/>
    <w:rsid w:val="003764D2"/>
    <w:rsid w:val="00422495"/>
    <w:rsid w:val="00462936"/>
    <w:rsid w:val="004D212B"/>
    <w:rsid w:val="006D7A2A"/>
    <w:rsid w:val="007D5E8F"/>
    <w:rsid w:val="00961C56"/>
    <w:rsid w:val="00967468"/>
    <w:rsid w:val="00A302AE"/>
    <w:rsid w:val="00A96B35"/>
    <w:rsid w:val="00AF5C2F"/>
    <w:rsid w:val="00E536BD"/>
    <w:rsid w:val="00EA0245"/>
    <w:rsid w:val="1DF7EB48"/>
    <w:rsid w:val="1F615307"/>
    <w:rsid w:val="2BAE2FDF"/>
    <w:rsid w:val="356434FA"/>
    <w:rsid w:val="5F6FC76C"/>
    <w:rsid w:val="5FF6BF88"/>
    <w:rsid w:val="67E631CC"/>
    <w:rsid w:val="6AFDF29A"/>
    <w:rsid w:val="773FBB54"/>
    <w:rsid w:val="7B1273AF"/>
    <w:rsid w:val="7FF345F3"/>
    <w:rsid w:val="ADFC7B01"/>
    <w:rsid w:val="AEED00AC"/>
    <w:rsid w:val="D6B56AAB"/>
    <w:rsid w:val="F3BE4581"/>
    <w:rsid w:val="FF7D8448"/>
    <w:rsid w:val="FFFF57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Arial"/>
      <w:kern w:val="2"/>
      <w:sz w:val="21"/>
      <w:szCs w:val="24"/>
      <w:lang w:val="en-US" w:eastAsia="zh-CN" w:bidi="ar-SA"/>
    </w:rPr>
  </w:style>
  <w:style w:type="paragraph" w:styleId="3">
    <w:name w:val="heading 1"/>
    <w:basedOn w:val="1"/>
    <w:next w:val="1"/>
    <w:qFormat/>
    <w:uiPriority w:val="9"/>
    <w:pPr>
      <w:keepNext/>
      <w:keepLines/>
      <w:spacing w:line="580" w:lineRule="exact"/>
      <w:ind w:firstLine="200" w:firstLineChars="200"/>
      <w:outlineLvl w:val="0"/>
    </w:pPr>
    <w:rPr>
      <w:rFonts w:eastAsia="仿宋_GB2312"/>
      <w:b/>
      <w:kern w:val="44"/>
      <w:sz w:val="32"/>
    </w:rPr>
  </w:style>
  <w:style w:type="paragraph" w:styleId="4">
    <w:name w:val="heading 2"/>
    <w:basedOn w:val="1"/>
    <w:next w:val="1"/>
    <w:unhideWhenUsed/>
    <w:qFormat/>
    <w:uiPriority w:val="9"/>
    <w:pPr>
      <w:keepNext/>
      <w:keepLines/>
      <w:spacing w:before="260" w:after="260" w:line="415" w:lineRule="auto"/>
      <w:outlineLvl w:val="1"/>
    </w:pPr>
    <w:rPr>
      <w:rFonts w:ascii="Luxi Sans" w:hAnsi="Luxi Sans" w:eastAsia="黑体"/>
      <w:b/>
      <w:sz w:val="32"/>
    </w:rPr>
  </w:style>
  <w:style w:type="paragraph" w:styleId="2">
    <w:name w:val="heading 3"/>
    <w:basedOn w:val="1"/>
    <w:next w:val="1"/>
    <w:unhideWhenUsed/>
    <w:qFormat/>
    <w:uiPriority w:val="9"/>
    <w:pPr>
      <w:keepNext/>
      <w:keepLines/>
      <w:outlineLvl w:val="2"/>
    </w:pPr>
    <w:rPr>
      <w:rFonts w:ascii="Times New Roman" w:hAnsi="Times New Roman" w:eastAsia="仿宋_GB2312" w:cs="宋体"/>
      <w:b/>
      <w:bCs/>
      <w:sz w:val="32"/>
      <w:szCs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semiHidden/>
    <w:unhideWhenUsed/>
    <w:qFormat/>
    <w:uiPriority w:val="99"/>
    <w:pPr>
      <w:jc w:val="left"/>
    </w:pPr>
  </w:style>
  <w:style w:type="paragraph" w:styleId="6">
    <w:name w:val="footer"/>
    <w:basedOn w:val="1"/>
    <w:semiHidden/>
    <w:unhideWhenUsed/>
    <w:qFormat/>
    <w:uiPriority w:val="99"/>
    <w:pPr>
      <w:tabs>
        <w:tab w:val="center" w:pos="4153"/>
        <w:tab w:val="right" w:pos="8306"/>
      </w:tabs>
      <w:snapToGrid w:val="0"/>
      <w:jc w:val="left"/>
    </w:pPr>
    <w:rPr>
      <w:sz w:val="18"/>
    </w:rPr>
  </w:style>
  <w:style w:type="paragraph" w:styleId="7">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List Paragraph"/>
    <w:basedOn w:val="1"/>
    <w:qFormat/>
    <w:uiPriority w:val="0"/>
    <w:pPr>
      <w:ind w:firstLine="20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677</Words>
  <Characters>718</Characters>
  <Lines>32</Lines>
  <Paragraphs>24</Paragraphs>
  <TotalTime>4</TotalTime>
  <ScaleCrop>false</ScaleCrop>
  <LinksUpToDate>false</LinksUpToDate>
  <CharactersWithSpaces>1371</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2025-10-16T00:35:00Z</dcterms:created>
  <dc:creator>孤狼</dc:creator>
  <cp:lastModifiedBy>kylin</cp:lastModifiedBy>
  <cp:lastPrinted>2025-10-22T11:15:00Z</cp:lastPrinted>
  <dcterms:modified xsi:type="dcterms:W3CDTF">2025-10-27T14:27:40Z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A44A750065F14362A6108C5723127D77_13</vt:lpwstr>
  </property>
  <property fmtid="{D5CDD505-2E9C-101B-9397-08002B2CF9AE}" pid="4" name="KSOTemplateDocerSaveRecord">
    <vt:lpwstr>eyJoZGlkIjoiMjI0ZTU4YzY3MTgyZTcxM2I0NDkzNzY5ZjkyZTQ3YjQiLCJ1c2VySWQiOiIxMzk4Nzc2MTY0In0=</vt:lpwstr>
  </property>
</Properties>
</file>