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0" w:name="_Toc23198"/>
      <w:r>
        <w:rPr>
          <w:rFonts w:hint="eastAsia" w:ascii="黑体" w:hAnsi="黑体" w:eastAsia="黑体" w:cs="黑体"/>
          <w:b w:val="0"/>
          <w:bCs/>
          <w:color w:val="000000" w:themeColor="text1"/>
          <w:sz w:val="36"/>
          <w:szCs w:val="36"/>
          <w:lang w:eastAsia="zh-CN"/>
          <w14:textFill>
            <w14:solidFill>
              <w14:schemeClr w14:val="tx1"/>
            </w14:solidFill>
          </w14:textFill>
        </w:rPr>
        <w:t>指南</w:t>
      </w:r>
      <w:r>
        <w:rPr>
          <w:rFonts w:hint="eastAsia" w:ascii="黑体" w:hAnsi="黑体" w:eastAsia="黑体" w:cs="黑体"/>
          <w:b w:val="0"/>
          <w:bCs/>
          <w:color w:val="000000" w:themeColor="text1"/>
          <w:sz w:val="36"/>
          <w:szCs w:val="36"/>
          <w:lang w:val="en-US" w:eastAsia="zh-CN"/>
          <w14:textFill>
            <w14:solidFill>
              <w14:schemeClr w14:val="tx1"/>
            </w14:solidFill>
          </w14:textFill>
        </w:rPr>
        <w:t>14</w:t>
      </w:r>
      <w:r>
        <w:rPr>
          <w:rFonts w:hint="eastAsia" w:ascii="黑体" w:hAnsi="黑体" w:eastAsia="黑体" w:cs="黑体"/>
          <w:b w:val="0"/>
          <w:bCs/>
          <w:color w:val="000000" w:themeColor="text1"/>
          <w:sz w:val="36"/>
          <w:szCs w:val="36"/>
          <w14:textFill>
            <w14:solidFill>
              <w14:schemeClr w14:val="tx1"/>
            </w14:solidFill>
          </w14:textFill>
        </w:rPr>
        <w:t>：</w:t>
      </w:r>
      <w:bookmarkEnd w:id="0"/>
      <w:r>
        <w:rPr>
          <w:rFonts w:hint="eastAsia" w:ascii="黑体" w:hAnsi="黑体" w:eastAsia="黑体" w:cs="黑体"/>
          <w:b w:val="0"/>
          <w:bCs/>
          <w:color w:val="000000" w:themeColor="text1"/>
          <w:sz w:val="36"/>
          <w:szCs w:val="36"/>
          <w14:textFill>
            <w14:solidFill>
              <w14:schemeClr w14:val="tx1"/>
            </w14:solidFill>
          </w14:textFill>
        </w:rPr>
        <w:t>超大型风电球墨铸件核心技术研发及产业化</w:t>
      </w:r>
    </w:p>
    <w:p>
      <w:pPr>
        <w:pageBreakBefore w:val="0"/>
        <w:widowControl w:val="0"/>
        <w:kinsoku/>
        <w:wordWrap/>
        <w:overflowPunct/>
        <w:topLinePunct w:val="0"/>
        <w:autoSpaceDE/>
        <w:autoSpaceDN/>
        <w:bidi w:val="0"/>
        <w:spacing w:line="560" w:lineRule="exact"/>
        <w:ind w:left="159" w:leftChars="76" w:firstLine="481" w:firstLineChars="15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color w:val="000000"/>
          <w:sz w:val="32"/>
          <w:szCs w:val="32"/>
        </w:rPr>
      </w:pPr>
      <w:bookmarkStart w:id="1" w:name="OLE_LINK4"/>
      <w:bookmarkStart w:id="2" w:name="OLE_LINK3"/>
      <w:r>
        <w:rPr>
          <w:rFonts w:hint="eastAsia" w:ascii="仿宋_GB2312" w:hAnsi="仿宋_GB2312" w:eastAsia="仿宋_GB2312" w:cs="仿宋_GB2312"/>
          <w:b/>
          <w:bCs/>
          <w:sz w:val="32"/>
          <w:szCs w:val="32"/>
        </w:rPr>
        <w:t>研究内容：</w:t>
      </w:r>
    </w:p>
    <w:bookmarkEnd w:id="1"/>
    <w:bookmarkEnd w:id="2"/>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高强韧超大型球墨铸件材料自主化不足、高端铸件依赖进口，超大型铸件因冶金缺陷致合格率低、关键部件报废率高，模具工装笨重高耗、绿色制造技术滞后且传统工艺缺乏智能调控的产业现状，研究新型高强韧化球墨铸铁材料，探究微观组织生长与应力释放机制，构建多元合金热力学模型，研发长效复合球化剂/孕育剂，构建多元体系熔凝动力学模型，突破高强韧材料自主制备瓶颈；研究超大型铸件冶金缺陷控制技术，分析多物理场耦合下熔体充型、缺陷演化及消除规律，借助数值模拟优化浇注、冷铁布置及热处理工艺，突破铸件缩松缩孔、应力开裂等难题；研究模具工装轻量化与绿色制造技术，开发环保粘结剂与镂空/空心砂芯等复合技术，优化砂箱结构并研发3D打印可循环模样材料，突破模具高耗与绿色制造脱节问题；研究铸件加工成型一体化智能制造系统技术，引入数字孪生并融合工业互联网与AI，实现生产实时监测与“材料-工艺-性能”精准预测，突破传统制造效率低、质量一致性差瓶颈。</w:t>
      </w:r>
    </w:p>
    <w:p>
      <w:pPr>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考核指标：</w:t>
      </w:r>
    </w:p>
    <w:p>
      <w:pPr>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（一）项目验收指标：</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开发适用于海上</w:t>
      </w:r>
      <w:r>
        <w:rPr>
          <w:rFonts w:hint="eastAsia" w:ascii="仿宋_GB2312" w:hAnsi="仿宋_GB2312" w:eastAsia="仿宋_GB2312" w:cs="仿宋_GB2312"/>
          <w:color w:val="auto"/>
          <w:sz w:val="32"/>
          <w:szCs w:val="32"/>
          <w:highlight w:val="none"/>
        </w:rPr>
        <w:t>16-25MW</w:t>
      </w:r>
      <w:r>
        <w:rPr>
          <w:rFonts w:hint="eastAsia" w:ascii="仿宋_GB2312" w:hAnsi="仿宋_GB2312" w:eastAsia="仿宋_GB2312" w:cs="仿宋_GB2312"/>
          <w:sz w:val="32"/>
          <w:szCs w:val="32"/>
        </w:rPr>
        <w:t>风电机组的高强韧化球墨铸铁材料2-3种，抗拉强度≥340MPa，延伸率≥18%，冲击韧性≥10J；超厚大断面（壁厚≥340mm）铸件的表层珠光体含量≤10%、石墨组成百分比（V+VI）≥90%、石墨大小4-8级、高应力区应力等级1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开发专用长效抗衰退球化剂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有效作用时间延长至8-24小时，适配大断面、长周期浇注工艺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开发</w:t>
      </w:r>
      <w:r>
        <w:rPr>
          <w:rFonts w:hint="eastAsia" w:ascii="仿宋_GB2312" w:hAnsi="仿宋_GB2312" w:eastAsia="仿宋_GB2312" w:cs="仿宋_GB2312"/>
          <w:sz w:val="32"/>
          <w:szCs w:val="32"/>
        </w:rPr>
        <w:t>孕育剂2-3种</w:t>
      </w:r>
      <w:r>
        <w:rPr>
          <w:rFonts w:hint="eastAsia" w:ascii="仿宋_GB2312" w:hAnsi="仿宋_GB2312" w:eastAsia="仿宋_GB2312" w:cs="仿宋_GB2312"/>
          <w:sz w:val="32"/>
          <w:szCs w:val="32"/>
          <w:lang w:eastAsia="zh-CN"/>
        </w:rPr>
        <w:t>（4小时内衰退率控制在15%以内）；</w:t>
      </w:r>
      <w:r>
        <w:rPr>
          <w:rFonts w:hint="eastAsia" w:ascii="仿宋_GB2312" w:hAnsi="仿宋_GB2312" w:eastAsia="仿宋_GB2312" w:cs="仿宋_GB2312"/>
          <w:sz w:val="32"/>
          <w:szCs w:val="32"/>
        </w:rPr>
        <w:t>研发高比刚度模具原料配方2-3个；新增年产4万吨以上</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highlight w:val="none"/>
        </w:rPr>
        <w:t>超大型</w:t>
      </w:r>
      <w:r>
        <w:rPr>
          <w:rFonts w:hint="eastAsia" w:ascii="仿宋_GB2312" w:hAnsi="仿宋_GB2312" w:eastAsia="仿宋_GB2312" w:cs="仿宋_GB2312"/>
          <w:color w:val="auto"/>
          <w:sz w:val="32"/>
          <w:szCs w:val="32"/>
          <w:highlight w:val="none"/>
          <w:lang w:eastAsia="zh-CN"/>
        </w:rPr>
        <w:t>（16-25MW）</w:t>
      </w:r>
      <w:r>
        <w:rPr>
          <w:rFonts w:hint="eastAsia" w:ascii="仿宋_GB2312" w:hAnsi="仿宋_GB2312" w:eastAsia="仿宋_GB2312" w:cs="仿宋_GB2312"/>
          <w:sz w:val="32"/>
          <w:szCs w:val="32"/>
          <w:highlight w:val="none"/>
        </w:rPr>
        <w:t>球</w:t>
      </w:r>
      <w:r>
        <w:rPr>
          <w:rFonts w:hint="eastAsia" w:ascii="仿宋_GB2312" w:hAnsi="仿宋_GB2312" w:eastAsia="仿宋_GB2312" w:cs="仿宋_GB2312"/>
          <w:sz w:val="32"/>
          <w:szCs w:val="32"/>
        </w:rPr>
        <w:t>墨铸件全周期自动化产线一条。发表学术论文3-5篇，申请/授权专利≥3-5项，制定企业级标准1项</w:t>
      </w:r>
      <w:r>
        <w:rPr>
          <w:rFonts w:hint="eastAsia" w:ascii="仿宋_GB2312" w:hAnsi="仿宋_GB2312" w:eastAsia="仿宋_GB2312" w:cs="仿宋_GB2312"/>
          <w:sz w:val="32"/>
          <w:szCs w:val="32"/>
          <w:lang w:eastAsia="zh-CN"/>
        </w:rPr>
        <w:t>。</w:t>
      </w:r>
    </w:p>
    <w:p>
      <w:pPr>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（二）绩效评价指标：</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项目达产后年新增产值20000万元、利税3000万元。为当地新增就业岗位100人以上，自主培养专业技术人员10名以上。新增1个市级以上风电装备制造领域创新研发平台</w:t>
      </w:r>
      <w:r>
        <w:rPr>
          <w:rFonts w:hint="eastAsia" w:ascii="仿宋_GB2312" w:hAnsi="仿宋_GB2312" w:eastAsia="仿宋_GB2312" w:cs="仿宋_GB2312"/>
          <w:sz w:val="32"/>
          <w:szCs w:val="32"/>
          <w:lang w:eastAsia="zh-CN"/>
        </w:rPr>
        <w:t>。</w:t>
      </w:r>
    </w:p>
    <w:p>
      <w:pPr>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3" w:name="_GoBack"/>
      <w:bookmarkEnd w:id="3"/>
      <w:r>
        <w:rPr>
          <w:rFonts w:hint="eastAsia" w:ascii="仿宋_GB2312" w:hAnsi="仿宋_GB2312" w:eastAsia="仿宋_GB2312" w:cs="仿宋_GB2312"/>
          <w:b/>
          <w:bCs/>
          <w:color w:val="000000" w:themeColor="text1"/>
          <w:sz w:val="32"/>
          <w:szCs w:val="32"/>
          <w14:textFill>
            <w14:solidFill>
              <w14:schemeClr w14:val="tx1"/>
            </w14:solidFill>
          </w14:textFill>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5000万元</w:t>
      </w:r>
      <w:r>
        <w:rPr>
          <w:rFonts w:hint="eastAsia" w:ascii="仿宋_GB2312" w:hAnsi="仿宋_GB2312" w:eastAsia="仿宋_GB2312" w:cs="仿宋_GB2312"/>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技术成熟度：</w:t>
      </w:r>
      <w:r>
        <w:rPr>
          <w:rFonts w:hint="eastAsia" w:ascii="仿宋_GB2312" w:hAnsi="仿宋_GB2312" w:eastAsia="仿宋_GB2312" w:cs="仿宋_GB2312"/>
          <w:color w:val="000000" w:themeColor="text1"/>
          <w:sz w:val="32"/>
          <w:szCs w:val="32"/>
          <w14:textFill>
            <w14:solidFill>
              <w14:schemeClr w14:val="tx1"/>
            </w14:solidFill>
          </w14:textFill>
        </w:rPr>
        <w:t>当前不低于3级</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完成后不低于10级。</w:t>
      </w:r>
    </w:p>
    <w:p>
      <w:pPr>
        <w:pageBreakBefore w:val="0"/>
        <w:widowControl w:val="0"/>
        <w:kinsoku/>
        <w:wordWrap/>
        <w:overflowPunct/>
        <w:topLinePunct w:val="0"/>
        <w:autoSpaceDE/>
        <w:autoSpaceDN/>
        <w:bidi w:val="0"/>
        <w:spacing w:line="560" w:lineRule="exact"/>
        <w:ind w:firstLine="641"/>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项目交示件：</w:t>
      </w:r>
      <w:r>
        <w:rPr>
          <w:rFonts w:hint="eastAsia" w:ascii="仿宋_GB2312" w:hAnsi="仿宋_GB2312" w:eastAsia="仿宋_GB2312" w:cs="仿宋_GB2312"/>
          <w:color w:val="000000" w:themeColor="text1"/>
          <w:sz w:val="32"/>
          <w:szCs w:val="32"/>
          <w14:textFill>
            <w14:solidFill>
              <w14:schemeClr w14:val="tx1"/>
            </w14:solidFill>
          </w14:textFill>
        </w:rPr>
        <w:t>超大型风电球墨铸件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（轮毂、底座等产品）</w:t>
      </w:r>
      <w:r>
        <w:rPr>
          <w:rFonts w:hint="eastAsia" w:ascii="仿宋_GB2312" w:hAnsi="仿宋_GB2312" w:eastAsia="仿宋_GB2312" w:cs="仿宋_GB2312"/>
          <w:color w:val="000000" w:themeColor="text1"/>
          <w:sz w:val="32"/>
          <w:szCs w:val="32"/>
          <w14:textFill>
            <w14:solidFill>
              <w14:schemeClr w14:val="tx1"/>
            </w14:solidFill>
          </w14:textFill>
        </w:rPr>
        <w:t>提供第三方测试报告及工艺规范文件；产品产线产能检测报告，并提供量产后连续三批次产品一致性报告；不少于4个不同用户的销售合同等证明材料</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产业化落地</w:t>
      </w:r>
      <w:r>
        <w:rPr>
          <w:rFonts w:hint="eastAsia" w:ascii="仿宋_GB2312" w:hAnsi="仿宋_GB2312" w:eastAsia="仿宋_GB2312" w:cs="仿宋_GB2312"/>
          <w:color w:val="000000" w:themeColor="text1"/>
          <w:sz w:val="32"/>
          <w:szCs w:val="32"/>
          <w:lang w:eastAsia="zh-CN"/>
          <w14:textFill>
            <w14:solidFill>
              <w14:schemeClr w14:val="tx1"/>
            </w14:solidFill>
          </w14:textFill>
        </w:rPr>
        <w:t>须</w:t>
      </w:r>
      <w:r>
        <w:rPr>
          <w:rFonts w:hint="eastAsia" w:ascii="仿宋_GB2312" w:hAnsi="仿宋_GB2312" w:eastAsia="仿宋_GB2312" w:cs="仿宋_GB2312"/>
          <w:color w:val="000000" w:themeColor="text1"/>
          <w:sz w:val="32"/>
          <w:szCs w:val="32"/>
          <w14:textFill>
            <w14:solidFill>
              <w14:schemeClr w14:val="tx1"/>
            </w14:solidFill>
          </w14:textFill>
        </w:rPr>
        <w:t>在滨州市企业。</w:t>
      </w:r>
    </w:p>
    <w:p>
      <w:pPr>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张榜范围：</w:t>
      </w:r>
      <w:r>
        <w:rPr>
          <w:rFonts w:hint="eastAsia" w:ascii="仿宋_GB2312" w:hAnsi="仿宋_GB2312" w:eastAsia="仿宋_GB2312" w:cs="仿宋_GB2312"/>
          <w:color w:val="000000" w:themeColor="text1"/>
          <w:sz w:val="32"/>
          <w:szCs w:val="32"/>
          <w14:textFill>
            <w14:solidFill>
              <w14:schemeClr w14:val="tx1"/>
            </w14:solidFill>
          </w14:textFill>
        </w:rPr>
        <w:t>面向市内外公开张榜</w:t>
      </w: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70272"/>
    <w:rsid w:val="08FC0CCA"/>
    <w:rsid w:val="0B7C44D7"/>
    <w:rsid w:val="0EF04E9D"/>
    <w:rsid w:val="0F2F6F39"/>
    <w:rsid w:val="16823791"/>
    <w:rsid w:val="18511623"/>
    <w:rsid w:val="18A463A1"/>
    <w:rsid w:val="19D1687B"/>
    <w:rsid w:val="1FA7401B"/>
    <w:rsid w:val="4BFDB965"/>
    <w:rsid w:val="4D470272"/>
    <w:rsid w:val="57FB2CFC"/>
    <w:rsid w:val="5D567189"/>
    <w:rsid w:val="5EFB4DC8"/>
    <w:rsid w:val="7620436F"/>
    <w:rsid w:val="7CEDA89D"/>
    <w:rsid w:val="7CFDE740"/>
    <w:rsid w:val="B57BCB3B"/>
    <w:rsid w:val="F7F74E88"/>
    <w:rsid w:val="FACFBFE0"/>
    <w:rsid w:val="FBEF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spacing w:line="580" w:lineRule="exact"/>
      <w:ind w:firstLine="200" w:firstLineChars="200"/>
      <w:outlineLvl w:val="0"/>
    </w:pPr>
    <w:rPr>
      <w:rFonts w:eastAsia="仿宋_GB2312"/>
      <w:b/>
      <w:kern w:val="44"/>
      <w:sz w:val="32"/>
    </w:rPr>
  </w:style>
  <w:style w:type="paragraph" w:styleId="2">
    <w:name w:val="heading 3"/>
    <w:basedOn w:val="1"/>
    <w:next w:val="1"/>
    <w:qFormat/>
    <w:uiPriority w:val="0"/>
    <w:pPr>
      <w:keepNext/>
      <w:keepLines/>
      <w:outlineLvl w:val="2"/>
    </w:pPr>
    <w:rPr>
      <w:rFonts w:ascii="Times New Roman" w:hAnsi="Times New Roman" w:eastAsia="仿宋_GB2312" w:cs="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2042</Words>
  <Characters>2154</Characters>
  <Lines>0</Lines>
  <Paragraphs>0</Paragraphs>
  <TotalTime>1</TotalTime>
  <ScaleCrop>false</ScaleCrop>
  <LinksUpToDate>false</LinksUpToDate>
  <CharactersWithSpaces>2154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2025-10-15T01:41:00Z</dcterms:created>
  <dc:creator>肆佰</dc:creator>
  <cp:lastModifiedBy>kylin</cp:lastModifiedBy>
  <cp:lastPrinted>2025-10-17T23:03:00Z</cp:lastPrinted>
  <dcterms:modified xsi:type="dcterms:W3CDTF">2025-10-27T15:58:21Z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CD65C1FCC7A0423F9B5B1EEB2DBEC206_11</vt:lpwstr>
  </property>
  <property fmtid="{D5CDD505-2E9C-101B-9397-08002B2CF9AE}" pid="4" name="KSOTemplateDocerSaveRecord">
    <vt:lpwstr>eyJoZGlkIjoiZDBhM2MwMDJiYmUyMWJkMDMyMGUzNGM0NjliZWZiZDQiLCJ1c2VySWQiOiI2OTA0OTUxMTQifQ==</vt:lpwstr>
  </property>
</Properties>
</file>